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DD276F" w14:textId="68019B48" w:rsidR="00D67DE9" w:rsidRDefault="00D67DE9" w:rsidP="00D67DE9">
      <w:pPr>
        <w:pStyle w:val="CRCoverPage"/>
        <w:tabs>
          <w:tab w:val="right" w:pos="9639"/>
        </w:tabs>
        <w:spacing w:after="0"/>
        <w:rPr>
          <w:b/>
          <w:i/>
          <w:noProof/>
          <w:sz w:val="28"/>
        </w:rPr>
      </w:pPr>
      <w:r>
        <w:rPr>
          <w:b/>
          <w:noProof/>
          <w:sz w:val="24"/>
        </w:rPr>
        <w:t>3GPP TSG-</w:t>
      </w:r>
      <w:fldSimple w:instr=" DOCPROPERTY  TSG/WGRef  \* MERGEFORMAT ">
        <w:r>
          <w:rPr>
            <w:b/>
            <w:noProof/>
            <w:sz w:val="24"/>
          </w:rPr>
          <w:t>RAN WG4</w:t>
        </w:r>
      </w:fldSimple>
      <w:r>
        <w:rPr>
          <w:b/>
          <w:noProof/>
          <w:sz w:val="24"/>
        </w:rPr>
        <w:t xml:space="preserve"> Meeting #</w:t>
      </w:r>
      <w:fldSimple w:instr=" DOCPROPERTY  MtgSeq  \* MERGEFORMAT ">
        <w:r>
          <w:rPr>
            <w:b/>
            <w:noProof/>
            <w:sz w:val="24"/>
          </w:rPr>
          <w:t>114</w:t>
        </w:r>
      </w:fldSimple>
      <w:r>
        <w:rPr>
          <w:b/>
          <w:i/>
          <w:noProof/>
          <w:sz w:val="28"/>
        </w:rPr>
        <w:tab/>
      </w:r>
      <w:fldSimple w:instr=" DOCPROPERTY  Tdoc#  \* MERGEFORMAT ">
        <w:r w:rsidR="00B8002A" w:rsidRPr="00B8002A">
          <w:rPr>
            <w:b/>
            <w:i/>
            <w:noProof/>
            <w:sz w:val="28"/>
          </w:rPr>
          <w:t>R4-2500290</w:t>
        </w:r>
      </w:fldSimple>
    </w:p>
    <w:p w14:paraId="7CB45193" w14:textId="1A948DBF" w:rsidR="001E41F3" w:rsidRDefault="00D67DE9" w:rsidP="005E2C44">
      <w:pPr>
        <w:pStyle w:val="CRCoverPage"/>
        <w:outlineLvl w:val="0"/>
        <w:rPr>
          <w:b/>
          <w:noProof/>
          <w:sz w:val="24"/>
        </w:rPr>
      </w:pPr>
      <w:fldSimple w:instr=" DOCPROPERTY  Location  \* MERGEFORMAT ">
        <w:r>
          <w:rPr>
            <w:b/>
            <w:noProof/>
            <w:sz w:val="24"/>
          </w:rPr>
          <w:t>Athens</w:t>
        </w:r>
      </w:fldSimple>
      <w:r>
        <w:rPr>
          <w:b/>
          <w:noProof/>
          <w:sz w:val="24"/>
        </w:rPr>
        <w:t xml:space="preserve">, </w:t>
      </w:r>
      <w:fldSimple w:instr=" DOCPROPERTY  Country  \* MERGEFORMAT ">
        <w:r>
          <w:rPr>
            <w:b/>
            <w:noProof/>
            <w:sz w:val="24"/>
          </w:rPr>
          <w:t>Greece</w:t>
        </w:r>
      </w:fldSimple>
      <w:r>
        <w:rPr>
          <w:b/>
          <w:noProof/>
          <w:sz w:val="24"/>
        </w:rPr>
        <w:t xml:space="preserve">, </w:t>
      </w:r>
      <w:fldSimple w:instr=" DOCPROPERTY  StartDate  \* MERGEFORMAT ">
        <w:r w:rsidRPr="00BA51D9">
          <w:rPr>
            <w:b/>
            <w:noProof/>
            <w:sz w:val="24"/>
          </w:rPr>
          <w:t xml:space="preserve"> </w:t>
        </w:r>
        <w:r>
          <w:rPr>
            <w:b/>
            <w:noProof/>
            <w:sz w:val="24"/>
          </w:rPr>
          <w:t>17th February</w:t>
        </w:r>
      </w:fldSimple>
      <w:r>
        <w:rPr>
          <w:b/>
          <w:noProof/>
          <w:sz w:val="24"/>
        </w:rPr>
        <w:t xml:space="preserve"> - </w:t>
      </w:r>
      <w:fldSimple w:instr=" DOCPROPERTY  EndDate  \* MERGEFORMAT ">
        <w:r>
          <w:rPr>
            <w:b/>
            <w:noProof/>
            <w:sz w:val="24"/>
          </w:rPr>
          <w:t>21st February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B1EFD6D" w:rsidR="001E41F3" w:rsidRPr="00410371" w:rsidRDefault="00DD46D9" w:rsidP="00E13F3D">
            <w:pPr>
              <w:pStyle w:val="CRCoverPage"/>
              <w:spacing w:after="0"/>
              <w:jc w:val="right"/>
              <w:rPr>
                <w:b/>
                <w:noProof/>
                <w:sz w:val="28"/>
              </w:rPr>
            </w:pPr>
            <w:fldSimple w:instr=" DOCPROPERTY  Spec#  \* MERGEFORMAT ">
              <w:r>
                <w:rPr>
                  <w:b/>
                  <w:noProof/>
                  <w:sz w:val="28"/>
                </w:rPr>
                <w:t>38.922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55D1ADE" w:rsidR="001E41F3" w:rsidRPr="00410371" w:rsidRDefault="00DD46D9" w:rsidP="00547111">
            <w:pPr>
              <w:pStyle w:val="CRCoverPage"/>
              <w:spacing w:after="0"/>
              <w:rPr>
                <w:noProof/>
              </w:rPr>
            </w:pPr>
            <w:fldSimple w:instr=" DOCPROPERTY  Cr#  \* MERGEFORMAT ">
              <w:r>
                <w:rPr>
                  <w:b/>
                  <w:noProof/>
                  <w:sz w:val="28"/>
                </w:rPr>
                <w:t>draft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C046914" w:rsidR="001E41F3" w:rsidRPr="00410371" w:rsidRDefault="00DD46D9" w:rsidP="00E13F3D">
            <w:pPr>
              <w:pStyle w:val="CRCoverPage"/>
              <w:spacing w:after="0"/>
              <w:jc w:val="center"/>
              <w:rPr>
                <w:b/>
                <w:noProof/>
              </w:rPr>
            </w:pPr>
            <w:fldSimple w:instr=" DOCPROPERTY  Revision  \* MERGEFORMAT ">
              <w:r>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8E5577C" w:rsidR="001E41F3" w:rsidRPr="00410371" w:rsidRDefault="00DD46D9">
            <w:pPr>
              <w:pStyle w:val="CRCoverPage"/>
              <w:spacing w:after="0"/>
              <w:jc w:val="center"/>
              <w:rPr>
                <w:noProof/>
                <w:sz w:val="28"/>
              </w:rPr>
            </w:pPr>
            <w:fldSimple w:instr=" DOCPROPERTY  Version  \* MERGEFORMAT ">
              <w:r>
                <w:rPr>
                  <w:b/>
                  <w:noProof/>
                  <w:sz w:val="28"/>
                </w:rPr>
                <w:t>1.0.1</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E371B34" w:rsidR="001E41F3" w:rsidRDefault="00DD46D9">
            <w:pPr>
              <w:pStyle w:val="CRCoverPage"/>
              <w:spacing w:after="0"/>
              <w:ind w:left="100"/>
              <w:rPr>
                <w:noProof/>
              </w:rPr>
            </w:pPr>
            <w:fldSimple w:instr=" DOCPROPERTY  CrTitle  \* MERGEFORMAT ">
              <w:r>
                <w:t>Editorial corrections for the UE IMT parameters for the 15GHz range</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7E9EF1B" w:rsidR="001E41F3" w:rsidRDefault="00DD46D9">
            <w:pPr>
              <w:pStyle w:val="CRCoverPage"/>
              <w:spacing w:after="0"/>
              <w:ind w:left="100"/>
              <w:rPr>
                <w:noProof/>
              </w:rPr>
            </w:pPr>
            <w:fldSimple w:instr=" DOCPROPERTY  SourceIfWg  \* MERGEFORMAT ">
              <w:r>
                <w:rPr>
                  <w:noProof/>
                </w:rPr>
                <w:t>Apple</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E941943" w:rsidR="001E41F3" w:rsidRDefault="00DD46D9" w:rsidP="00547111">
            <w:pPr>
              <w:pStyle w:val="CRCoverPage"/>
              <w:spacing w:after="0"/>
              <w:ind w:left="100"/>
              <w:rPr>
                <w:noProof/>
              </w:rPr>
            </w:pPr>
            <w:fldSimple w:instr=" DOCPROPERTY  SourceIfTsg  \* MERGEFORMAT ">
              <w:r>
                <w:rPr>
                  <w:noProof/>
                </w:rPr>
                <w:t>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C212525" w:rsidR="001E41F3" w:rsidRDefault="0065075C">
            <w:pPr>
              <w:pStyle w:val="CRCoverPage"/>
              <w:spacing w:after="0"/>
              <w:ind w:left="100"/>
              <w:rPr>
                <w:noProof/>
              </w:rPr>
            </w:pPr>
            <w:fldSimple w:instr=" DOCPROPERTY  RelatedWis  \* MERGEFORMAT ">
              <w:r w:rsidRPr="0065075C">
                <w:rPr>
                  <w:noProof/>
                </w:rPr>
                <w:t>FS_NR_IMT_4400_7125_14800MHz</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1"/>
            <w:r>
              <w:rPr>
                <w:b/>
                <w:i/>
                <w:noProof/>
              </w:rPr>
              <w:t>Date:</w:t>
            </w:r>
            <w:commentRangeEnd w:id="1"/>
            <w:r w:rsidR="00665C47">
              <w:rPr>
                <w:rStyle w:val="CommentReference"/>
                <w:rFonts w:ascii="Times New Roman" w:hAnsi="Times New Roman"/>
              </w:rPr>
              <w:commentReference w:id="1"/>
            </w:r>
          </w:p>
        </w:tc>
        <w:tc>
          <w:tcPr>
            <w:tcW w:w="2127" w:type="dxa"/>
            <w:tcBorders>
              <w:right w:val="single" w:sz="4" w:space="0" w:color="auto"/>
            </w:tcBorders>
            <w:shd w:val="pct30" w:color="FFFF00" w:fill="auto"/>
          </w:tcPr>
          <w:p w14:paraId="56929475" w14:textId="51DC4A84" w:rsidR="001E41F3" w:rsidRDefault="00DD46D9">
            <w:pPr>
              <w:pStyle w:val="CRCoverPage"/>
              <w:spacing w:after="0"/>
              <w:ind w:left="100"/>
              <w:rPr>
                <w:noProof/>
              </w:rPr>
            </w:pPr>
            <w:fldSimple w:instr=" DOCPROPERTY  ResDate  \* MERGEFORMAT ">
              <w:r>
                <w:rPr>
                  <w:noProof/>
                </w:rPr>
                <w:t>2024-01-24</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A2E9A61" w:rsidR="001E41F3" w:rsidRDefault="00DD46D9" w:rsidP="00D24991">
            <w:pPr>
              <w:pStyle w:val="CRCoverPage"/>
              <w:spacing w:after="0"/>
              <w:ind w:left="100" w:right="-609"/>
              <w:rPr>
                <w:b/>
                <w:noProof/>
              </w:rPr>
            </w:pPr>
            <w:fldSimple w:instr=" DOCPROPERTY  Cat  \* MERGEFORMAT ">
              <w:r>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BFFD59A" w:rsidR="001E41F3" w:rsidRDefault="00DD46D9">
            <w:pPr>
              <w:pStyle w:val="CRCoverPage"/>
              <w:spacing w:after="0"/>
              <w:ind w:left="100"/>
              <w:rPr>
                <w:noProof/>
              </w:rPr>
            </w:pPr>
            <w:fldSimple w:instr=" DOCPROPERTY  Release  \* MERGEFORMAT ">
              <w:r>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7777777" w:rsidR="001E41F3" w:rsidRDefault="001E41F3">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CAE50E0" w14:textId="77777777" w:rsidR="001E41F3" w:rsidRDefault="00D470CA">
            <w:pPr>
              <w:pStyle w:val="CRCoverPage"/>
              <w:spacing w:after="0"/>
              <w:ind w:left="100"/>
              <w:rPr>
                <w:noProof/>
              </w:rPr>
            </w:pPr>
            <w:r>
              <w:rPr>
                <w:noProof/>
              </w:rPr>
              <w:t xml:space="preserve">In </w:t>
            </w:r>
            <w:r w:rsidRPr="00D470CA">
              <w:rPr>
                <w:noProof/>
              </w:rPr>
              <w:t>6.4.1.3</w:t>
            </w:r>
            <w:r>
              <w:rPr>
                <w:noProof/>
              </w:rPr>
              <w:t>, the following sentence is added “</w:t>
            </w:r>
            <w:r w:rsidRPr="00D470CA">
              <w:rPr>
                <w:i/>
                <w:iCs/>
                <w:noProof/>
              </w:rPr>
              <w:t>The actual ACLR for this frequency range or parts there-of should be further studied in the WI phase</w:t>
            </w:r>
            <w:r>
              <w:rPr>
                <w:noProof/>
              </w:rPr>
              <w:t>” to align the wording with other sub-clauses.</w:t>
            </w:r>
          </w:p>
          <w:p w14:paraId="30AA6DBA" w14:textId="77777777" w:rsidR="00D470CA" w:rsidRDefault="00D470CA">
            <w:pPr>
              <w:pStyle w:val="CRCoverPage"/>
              <w:spacing w:after="0"/>
              <w:ind w:left="100"/>
              <w:rPr>
                <w:noProof/>
              </w:rPr>
            </w:pPr>
          </w:p>
          <w:p w14:paraId="31C656EC" w14:textId="367A18FA" w:rsidR="00D470CA" w:rsidRDefault="00D470CA">
            <w:pPr>
              <w:pStyle w:val="CRCoverPage"/>
              <w:spacing w:after="0"/>
              <w:ind w:left="100"/>
              <w:rPr>
                <w:noProof/>
              </w:rPr>
            </w:pPr>
            <w:r>
              <w:rPr>
                <w:noProof/>
              </w:rPr>
              <w:t xml:space="preserve">In </w:t>
            </w:r>
            <w:r w:rsidRPr="00D470CA">
              <w:rPr>
                <w:noProof/>
              </w:rPr>
              <w:t>6.5.2.1</w:t>
            </w:r>
            <w:r>
              <w:rPr>
                <w:noProof/>
              </w:rPr>
              <w:t xml:space="preserve"> and </w:t>
            </w:r>
            <w:r w:rsidRPr="00D470CA">
              <w:rPr>
                <w:noProof/>
              </w:rPr>
              <w:t>6.5.2.</w:t>
            </w:r>
            <w:r>
              <w:rPr>
                <w:noProof/>
              </w:rPr>
              <w:t>2, Figure numbers are corrected.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96BFD64" w:rsidR="001E41F3" w:rsidRDefault="00F55D92">
            <w:pPr>
              <w:pStyle w:val="CRCoverPage"/>
              <w:spacing w:after="0"/>
              <w:ind w:left="100"/>
              <w:rPr>
                <w:noProof/>
              </w:rPr>
            </w:pPr>
            <w:r>
              <w:rPr>
                <w:noProof/>
              </w:rPr>
              <w:t>6.4.1.3, 6.5.2.1, 6.5.2.2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70B5475" w:rsidR="001E41F3" w:rsidRDefault="00DD46D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8B3C034" w:rsidR="001E41F3" w:rsidRDefault="00DD46D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2E17179" w:rsidR="001E41F3" w:rsidRDefault="00DD46D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9C79EF">
          <w:headerReference w:type="even" r:id="rId14"/>
          <w:footnotePr>
            <w:numRestart w:val="eachSect"/>
          </w:footnotePr>
          <w:pgSz w:w="11907" w:h="16840" w:code="9"/>
          <w:pgMar w:top="1418" w:right="1134" w:bottom="1134" w:left="1134" w:header="680" w:footer="567" w:gutter="0"/>
          <w:cols w:space="720"/>
        </w:sectPr>
      </w:pPr>
    </w:p>
    <w:p w14:paraId="051B3D8A" w14:textId="77777777" w:rsidR="00312E2E" w:rsidRDefault="00312E2E" w:rsidP="00312E2E">
      <w:pPr>
        <w:pStyle w:val="Heading2"/>
      </w:pPr>
      <w:bookmarkStart w:id="2" w:name="_Toc66101038"/>
      <w:bookmarkStart w:id="3" w:name="_Toc67990395"/>
      <w:bookmarkStart w:id="4" w:name="_Toc98750006"/>
      <w:bookmarkStart w:id="5" w:name="_Toc184718051"/>
      <w:r>
        <w:lastRenderedPageBreak/>
        <w:t>6.4</w:t>
      </w:r>
      <w:r>
        <w:tab/>
        <w:t>UE parameters</w:t>
      </w:r>
      <w:bookmarkEnd w:id="2"/>
      <w:bookmarkEnd w:id="3"/>
      <w:bookmarkEnd w:id="4"/>
      <w:bookmarkEnd w:id="5"/>
    </w:p>
    <w:p w14:paraId="0114946E" w14:textId="77777777" w:rsidR="00312E2E" w:rsidRDefault="00312E2E" w:rsidP="00312E2E">
      <w:pPr>
        <w:pStyle w:val="Heading3"/>
      </w:pPr>
      <w:bookmarkStart w:id="6" w:name="_Toc66101039"/>
      <w:bookmarkStart w:id="7" w:name="_Toc67990396"/>
      <w:bookmarkStart w:id="8" w:name="_Toc98750007"/>
      <w:bookmarkStart w:id="9" w:name="_Toc184718052"/>
      <w:r>
        <w:t>6.4.1</w:t>
      </w:r>
      <w:r>
        <w:tab/>
      </w:r>
      <w:r w:rsidRPr="00444E61">
        <w:t>Transmitter characteristics</w:t>
      </w:r>
      <w:bookmarkEnd w:id="6"/>
      <w:bookmarkEnd w:id="7"/>
      <w:bookmarkEnd w:id="8"/>
      <w:bookmarkEnd w:id="9"/>
    </w:p>
    <w:p w14:paraId="0D8EE368" w14:textId="77777777" w:rsidR="00312E2E" w:rsidRDefault="00312E2E" w:rsidP="00312E2E">
      <w:pPr>
        <w:pStyle w:val="Heading4"/>
        <w:rPr>
          <w:rFonts w:eastAsia="MS Mincho"/>
          <w:lang w:eastAsia="ja-JP"/>
        </w:rPr>
      </w:pPr>
      <w:bookmarkStart w:id="10" w:name="_Toc66101040"/>
      <w:bookmarkStart w:id="11" w:name="_Toc67990397"/>
      <w:bookmarkStart w:id="12" w:name="_Toc98750008"/>
      <w:bookmarkStart w:id="13" w:name="_Toc184718053"/>
      <w:r>
        <w:rPr>
          <w:rFonts w:eastAsia="MS Mincho"/>
          <w:lang w:eastAsia="ja-JP"/>
        </w:rPr>
        <w:t>6.4.1.1</w:t>
      </w:r>
      <w:r>
        <w:rPr>
          <w:rFonts w:eastAsia="MS Mincho"/>
          <w:lang w:eastAsia="ja-JP"/>
        </w:rPr>
        <w:tab/>
        <w:t>Power dynamic range</w:t>
      </w:r>
      <w:bookmarkEnd w:id="10"/>
      <w:bookmarkEnd w:id="11"/>
      <w:bookmarkEnd w:id="12"/>
      <w:bookmarkEnd w:id="13"/>
    </w:p>
    <w:p w14:paraId="3DB6BD09" w14:textId="77777777" w:rsidR="00312E2E" w:rsidRPr="00BE03DB" w:rsidRDefault="00312E2E" w:rsidP="00312E2E">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Based on the study in sub-clause 6.5.2, the UE antenna type for 14800 – 15350 MHz can reuse existing FR1 antenna characteristics so that both nominal maximum and minimum output power refer to existing FR1 bands, </w:t>
      </w:r>
      <w:r>
        <w:rPr>
          <w:lang w:eastAsia="ja-JP"/>
        </w:rPr>
        <w:t xml:space="preserve">i.e., power dynamic range is 56 </w:t>
      </w:r>
      <w:proofErr w:type="spellStart"/>
      <w:r>
        <w:rPr>
          <w:lang w:eastAsia="ja-JP"/>
        </w:rPr>
        <w:t>dB.</w:t>
      </w:r>
      <w:proofErr w:type="spellEnd"/>
    </w:p>
    <w:p w14:paraId="267EE6B6" w14:textId="77777777" w:rsidR="00312E2E" w:rsidRDefault="00312E2E" w:rsidP="00312E2E">
      <w:pPr>
        <w:pStyle w:val="Heading4"/>
      </w:pPr>
      <w:bookmarkStart w:id="14" w:name="_Toc66101041"/>
      <w:bookmarkStart w:id="15" w:name="_Toc67990398"/>
      <w:bookmarkStart w:id="16" w:name="_Toc98750009"/>
      <w:bookmarkStart w:id="17" w:name="_Toc184718054"/>
      <w:r>
        <w:t>6.4.1.2</w:t>
      </w:r>
      <w:r>
        <w:tab/>
      </w:r>
      <w:r w:rsidRPr="00D44E88">
        <w:t>Spectral mask</w:t>
      </w:r>
      <w:bookmarkEnd w:id="14"/>
      <w:bookmarkEnd w:id="15"/>
      <w:bookmarkEnd w:id="16"/>
      <w:bookmarkEnd w:id="17"/>
    </w:p>
    <w:p w14:paraId="6D65AD94" w14:textId="77777777" w:rsidR="00312E2E" w:rsidRPr="00BC5D1D" w:rsidRDefault="00312E2E" w:rsidP="00312E2E">
      <w:r>
        <w:t xml:space="preserve">The UE spectral mask is described in </w:t>
      </w:r>
      <w:r>
        <w:rPr>
          <w:rFonts w:eastAsia="Malgun Gothic" w:hint="eastAsia"/>
          <w:lang w:eastAsia="ko-KR"/>
        </w:rPr>
        <w:t xml:space="preserve">TS 38.101-1 [12] clause 6.5.2.2 </w:t>
      </w:r>
      <w:r>
        <w:t xml:space="preserve">Table </w:t>
      </w:r>
      <w:r>
        <w:rPr>
          <w:rFonts w:eastAsia="Malgun Gothic" w:hint="eastAsia"/>
          <w:lang w:eastAsia="ko-KR"/>
        </w:rPr>
        <w:t>6</w:t>
      </w:r>
      <w:r>
        <w:t>.</w:t>
      </w:r>
      <w:r>
        <w:rPr>
          <w:rFonts w:eastAsia="Malgun Gothic" w:hint="eastAsia"/>
          <w:lang w:eastAsia="ko-KR"/>
        </w:rPr>
        <w:t>5.2.2</w:t>
      </w:r>
      <w:r>
        <w:t>-1.</w:t>
      </w:r>
      <w:r>
        <w:rPr>
          <w:rFonts w:eastAsia="Malgun Gothic" w:hint="eastAsia"/>
          <w:lang w:eastAsia="ko-KR"/>
        </w:rPr>
        <w:t xml:space="preserve"> </w:t>
      </w:r>
      <w:r>
        <w:rPr>
          <w:rFonts w:eastAsiaTheme="minorEastAsia"/>
        </w:rPr>
        <w:t xml:space="preserve">Emission mask for 200 MHz BW is based on the CA mask as defined in </w:t>
      </w:r>
      <w:r>
        <w:rPr>
          <w:rFonts w:eastAsia="Malgun Gothic" w:hint="eastAsia"/>
          <w:lang w:eastAsia="ko-KR"/>
        </w:rPr>
        <w:t xml:space="preserve">TS 38.101-1 </w:t>
      </w:r>
      <w:r w:rsidRPr="0006562B">
        <w:rPr>
          <w:rFonts w:eastAsiaTheme="minorEastAsia"/>
        </w:rPr>
        <w:t>[</w:t>
      </w:r>
      <w:r>
        <w:rPr>
          <w:rFonts w:eastAsia="Malgun Gothic" w:hint="eastAsia"/>
          <w:lang w:eastAsia="ko-KR"/>
        </w:rPr>
        <w:t>12</w:t>
      </w:r>
      <w:r w:rsidRPr="0006562B">
        <w:rPr>
          <w:rFonts w:eastAsiaTheme="minorEastAsia"/>
        </w:rPr>
        <w:t>]</w:t>
      </w:r>
      <w:r>
        <w:rPr>
          <w:rFonts w:eastAsia="Malgun Gothic" w:hint="eastAsia"/>
          <w:lang w:eastAsia="ko-KR"/>
        </w:rPr>
        <w:t xml:space="preserve"> clause </w:t>
      </w:r>
      <w:r w:rsidRPr="0006562B">
        <w:rPr>
          <w:rFonts w:eastAsiaTheme="minorEastAsia"/>
          <w:lang w:val="en-US"/>
        </w:rPr>
        <w:t>6.5A.2.2.</w:t>
      </w:r>
      <w:r w:rsidRPr="00A1115A">
        <w:t xml:space="preserve"> </w:t>
      </w:r>
      <w:r>
        <w:rPr>
          <w:rFonts w:eastAsia="Malgun Gothic" w:hint="eastAsia"/>
          <w:lang w:eastAsia="ko-KR"/>
        </w:rPr>
        <w:t>The SEM requirements</w:t>
      </w:r>
      <w:r w:rsidRPr="00937282">
        <w:t xml:space="preserve"> in this frequency range may be relaxed than FR1 intra-band CA with 200MHz aggregated bandwidth</w:t>
      </w:r>
      <w:r>
        <w:rPr>
          <w:rFonts w:eastAsia="Malgun Gothic" w:hint="eastAsia"/>
          <w:lang w:eastAsia="ko-KR"/>
        </w:rPr>
        <w:t xml:space="preserve"> in the WI phase</w:t>
      </w:r>
      <w:r w:rsidRPr="00937282">
        <w:t>.</w:t>
      </w:r>
    </w:p>
    <w:p w14:paraId="70C10252" w14:textId="77777777" w:rsidR="00312E2E" w:rsidRDefault="00312E2E" w:rsidP="00312E2E">
      <w:pPr>
        <w:pStyle w:val="Heading4"/>
      </w:pPr>
      <w:bookmarkStart w:id="18" w:name="_Toc66101042"/>
      <w:bookmarkStart w:id="19" w:name="_Toc67990399"/>
      <w:bookmarkStart w:id="20" w:name="_Toc98750010"/>
      <w:bookmarkStart w:id="21" w:name="_Toc184718055"/>
      <w:r>
        <w:t>6.4.1.3</w:t>
      </w:r>
      <w:r>
        <w:tab/>
        <w:t>ACLR</w:t>
      </w:r>
      <w:bookmarkEnd w:id="18"/>
      <w:bookmarkEnd w:id="19"/>
      <w:bookmarkEnd w:id="20"/>
      <w:bookmarkEnd w:id="21"/>
    </w:p>
    <w:p w14:paraId="3782F1DC" w14:textId="77777777" w:rsidR="00312E2E" w:rsidRDefault="00312E2E" w:rsidP="00312E2E">
      <w:pPr>
        <w:rPr>
          <w:ins w:id="22" w:author="Alexander Sayenko" w:date="2025-01-24T22:35:00Z" w16du:dateUtc="2025-01-24T20:35:00Z"/>
        </w:rPr>
      </w:pPr>
      <w:r>
        <w:t xml:space="preserve">According to the previous studies and considering </w:t>
      </w:r>
      <w:r>
        <w:rPr>
          <w:rFonts w:eastAsia="Malgun Gothic" w:hint="eastAsia"/>
          <w:lang w:eastAsia="ko-KR"/>
        </w:rPr>
        <w:t xml:space="preserve">that </w:t>
      </w:r>
      <w:r>
        <w:t>the UE needs to meet the Occupied bandwidth (OBW) requirements and is higher than the ACLR needed for co-existence</w:t>
      </w:r>
      <w:r>
        <w:rPr>
          <w:rFonts w:eastAsia="Malgun Gothic" w:hint="eastAsia"/>
          <w:lang w:eastAsia="ko-KR"/>
        </w:rPr>
        <w:t xml:space="preserve"> as noted </w:t>
      </w:r>
      <w:r>
        <w:t xml:space="preserve">in sub-clause 6.1.3, it was concluded that </w:t>
      </w:r>
      <w:r>
        <w:rPr>
          <w:rFonts w:eastAsia="Malgun Gothic" w:hint="eastAsia"/>
          <w:lang w:eastAsia="ko-KR"/>
        </w:rPr>
        <w:t>24</w:t>
      </w:r>
      <w:r>
        <w:t xml:space="preserve"> dB ACLR would be sufficient for 14800 – 15350 </w:t>
      </w:r>
      <w:proofErr w:type="spellStart"/>
      <w:r>
        <w:t>MHz.</w:t>
      </w:r>
      <w:proofErr w:type="spellEnd"/>
      <w:r>
        <w:t xml:space="preserve"> Thus, ACLR of </w:t>
      </w:r>
      <w:r>
        <w:rPr>
          <w:rFonts w:eastAsia="Malgun Gothic" w:hint="eastAsia"/>
          <w:lang w:eastAsia="ko-KR"/>
        </w:rPr>
        <w:t>24</w:t>
      </w:r>
      <w:r>
        <w:t xml:space="preserve"> dB </w:t>
      </w:r>
      <w:r w:rsidRPr="00DD2373">
        <w:t xml:space="preserve">can be considered for the frequency range </w:t>
      </w:r>
      <w:r>
        <w:t xml:space="preserve">14800 – 15350 </w:t>
      </w:r>
      <w:proofErr w:type="spellStart"/>
      <w:r>
        <w:t>MHz</w:t>
      </w:r>
      <w:r>
        <w:rPr>
          <w:lang w:eastAsia="ja-JP"/>
        </w:rPr>
        <w:t>.</w:t>
      </w:r>
      <w:proofErr w:type="spellEnd"/>
      <w:r>
        <w:t xml:space="preserve"> </w:t>
      </w:r>
    </w:p>
    <w:p w14:paraId="21642458" w14:textId="20F26DB2" w:rsidR="00312E2E" w:rsidRPr="00743269" w:rsidRDefault="00312E2E" w:rsidP="00312E2E">
      <w:ins w:id="23" w:author="Alexander Sayenko" w:date="2025-01-24T22:35:00Z" w16du:dateUtc="2025-01-24T20:35:00Z">
        <w:r>
          <w:t>The actual ACLR for this frequency range or parts there-of should be further studied in the WI phase.</w:t>
        </w:r>
      </w:ins>
    </w:p>
    <w:p w14:paraId="35855851" w14:textId="77777777" w:rsidR="00312E2E" w:rsidRDefault="00312E2E" w:rsidP="00312E2E">
      <w:pPr>
        <w:pStyle w:val="Heading4"/>
      </w:pPr>
      <w:bookmarkStart w:id="24" w:name="_Toc66101043"/>
      <w:bookmarkStart w:id="25" w:name="_Toc67990400"/>
      <w:bookmarkStart w:id="26" w:name="_Toc98750011"/>
      <w:bookmarkStart w:id="27" w:name="_Toc184718056"/>
      <w:r>
        <w:t>6.4.1.4</w:t>
      </w:r>
      <w:r>
        <w:tab/>
        <w:t>Spurious emissions</w:t>
      </w:r>
      <w:bookmarkEnd w:id="24"/>
      <w:bookmarkEnd w:id="25"/>
      <w:bookmarkEnd w:id="26"/>
      <w:bookmarkEnd w:id="27"/>
    </w:p>
    <w:p w14:paraId="5799FBA2" w14:textId="77777777" w:rsidR="00312E2E" w:rsidRPr="00710E8A" w:rsidRDefault="00312E2E" w:rsidP="00312E2E">
      <w:r>
        <w:t>The general spurious emissions defined in TS 38.101-1 [</w:t>
      </w:r>
      <w:r>
        <w:rPr>
          <w:rFonts w:eastAsia="Malgun Gothic" w:hint="eastAsia"/>
          <w:lang w:eastAsia="ko-KR"/>
        </w:rPr>
        <w:t>12</w:t>
      </w:r>
      <w:r>
        <w:t xml:space="preserve">] clause 6.5.3 </w:t>
      </w:r>
      <w:r>
        <w:rPr>
          <w:rFonts w:eastAsia="Malgun Gothic" w:hint="eastAsia"/>
          <w:lang w:val="en-US" w:eastAsia="ko-KR"/>
        </w:rPr>
        <w:t>T</w:t>
      </w:r>
      <w:r>
        <w:rPr>
          <w:rFonts w:eastAsiaTheme="minorEastAsia"/>
          <w:lang w:val="en-US"/>
        </w:rPr>
        <w:t xml:space="preserve">able 6.5.3.1-2 with OOB boundary given in </w:t>
      </w:r>
      <w:r>
        <w:rPr>
          <w:rFonts w:eastAsia="Malgun Gothic" w:hint="eastAsia"/>
          <w:lang w:val="en-US" w:eastAsia="ko-KR"/>
        </w:rPr>
        <w:t>T</w:t>
      </w:r>
      <w:r>
        <w:rPr>
          <w:rFonts w:eastAsiaTheme="minorEastAsia"/>
          <w:lang w:val="en-US"/>
        </w:rPr>
        <w:t>able 6.5A.3.1-1</w:t>
      </w:r>
      <w:r>
        <w:rPr>
          <w:rFonts w:eastAsia="Malgun Gothic" w:hint="eastAsia"/>
          <w:lang w:val="en-US" w:eastAsia="ko-KR"/>
        </w:rPr>
        <w:t xml:space="preserve"> </w:t>
      </w:r>
      <w:r>
        <w:t xml:space="preserve">can apply to the frequency range 14800 -15350 </w:t>
      </w:r>
      <w:proofErr w:type="spellStart"/>
      <w:r>
        <w:t>MHz.</w:t>
      </w:r>
      <w:proofErr w:type="spellEnd"/>
    </w:p>
    <w:p w14:paraId="49575862" w14:textId="77777777" w:rsidR="00312E2E" w:rsidRPr="0046638A" w:rsidRDefault="00312E2E" w:rsidP="00312E2E"/>
    <w:p w14:paraId="36E67BF9" w14:textId="77777777" w:rsidR="00312E2E" w:rsidRDefault="00312E2E" w:rsidP="00312E2E">
      <w:pPr>
        <w:pStyle w:val="Heading4"/>
      </w:pPr>
      <w:bookmarkStart w:id="28" w:name="_Toc66101044"/>
      <w:bookmarkStart w:id="29" w:name="_Toc67990401"/>
      <w:bookmarkStart w:id="30" w:name="_Toc98750012"/>
      <w:bookmarkStart w:id="31" w:name="_Toc184718057"/>
      <w:r>
        <w:t>6.4.1.5</w:t>
      </w:r>
      <w:r>
        <w:tab/>
        <w:t>Maximum output power</w:t>
      </w:r>
      <w:bookmarkEnd w:id="28"/>
      <w:bookmarkEnd w:id="29"/>
      <w:bookmarkEnd w:id="30"/>
      <w:bookmarkEnd w:id="31"/>
    </w:p>
    <w:p w14:paraId="432EC72A" w14:textId="77777777" w:rsidR="00312E2E" w:rsidRPr="00710E8A" w:rsidRDefault="00312E2E" w:rsidP="00312E2E">
      <w:r>
        <w:rPr>
          <w:rFonts w:cs="v5.0.0"/>
        </w:rPr>
        <w:t>Based on the study in sub-clause 6.5.2, t</w:t>
      </w:r>
      <w:r>
        <w:t xml:space="preserve">he UE maximum output power for the considered frequency ranges could be 23 dBm. Other UE power classes, e.g., 20dBm, 26dBm and 29dBm, are not precluded (corresponding ACLR limit will be adapted accordingly to avoid additional interference). </w:t>
      </w:r>
    </w:p>
    <w:p w14:paraId="749B6993" w14:textId="77777777" w:rsidR="00312E2E" w:rsidRPr="00714980" w:rsidRDefault="00312E2E" w:rsidP="00312E2E"/>
    <w:p w14:paraId="092E2C02" w14:textId="77777777" w:rsidR="00312E2E" w:rsidRDefault="00312E2E" w:rsidP="00312E2E">
      <w:pPr>
        <w:pStyle w:val="Heading4"/>
      </w:pPr>
      <w:bookmarkStart w:id="32" w:name="_Toc66101045"/>
      <w:bookmarkStart w:id="33" w:name="_Toc67990402"/>
      <w:bookmarkStart w:id="34" w:name="_Toc98750013"/>
      <w:bookmarkStart w:id="35" w:name="_Toc184718058"/>
      <w:r>
        <w:t>6.4.1.6</w:t>
      </w:r>
      <w:r>
        <w:tab/>
        <w:t>Average output power</w:t>
      </w:r>
      <w:bookmarkEnd w:id="32"/>
      <w:bookmarkEnd w:id="33"/>
      <w:bookmarkEnd w:id="34"/>
      <w:bookmarkEnd w:id="35"/>
    </w:p>
    <w:p w14:paraId="4B5B0917" w14:textId="77777777" w:rsidR="00312E2E" w:rsidRDefault="00312E2E" w:rsidP="00312E2E">
      <w:r w:rsidRPr="00C61ED5">
        <w:t>NOTE:</w:t>
      </w:r>
      <w:r w:rsidRPr="00C61ED5">
        <w:tab/>
        <w:t>This parameter was not mentioned in the previous response to ITU-R WP5D.</w:t>
      </w:r>
      <w:r w:rsidRPr="00710E8A">
        <w:t xml:space="preserve"> </w:t>
      </w:r>
    </w:p>
    <w:p w14:paraId="4E45FC9C" w14:textId="77777777" w:rsidR="00312E2E" w:rsidRDefault="00312E2E" w:rsidP="00312E2E"/>
    <w:p w14:paraId="216D1A5F" w14:textId="1A36D150" w:rsidR="00312E2E" w:rsidRDefault="00312E2E" w:rsidP="00312E2E">
      <w:r w:rsidRPr="00312E2E">
        <w:rPr>
          <w:highlight w:val="yellow"/>
        </w:rPr>
        <w:t>********** NEXT CHANGED SECTION **********</w:t>
      </w:r>
    </w:p>
    <w:p w14:paraId="1E303551" w14:textId="77777777" w:rsidR="00312E2E" w:rsidRDefault="00312E2E" w:rsidP="00312E2E"/>
    <w:p w14:paraId="72A5DBD6" w14:textId="77777777" w:rsidR="00312E2E" w:rsidRDefault="00312E2E" w:rsidP="00312E2E">
      <w:pPr>
        <w:pStyle w:val="Heading3"/>
      </w:pPr>
      <w:bookmarkStart w:id="36" w:name="_Toc66101055"/>
      <w:bookmarkStart w:id="37" w:name="_Toc67990412"/>
      <w:bookmarkStart w:id="38" w:name="_Toc98750023"/>
      <w:bookmarkStart w:id="39" w:name="_Toc184718068"/>
      <w:r>
        <w:t>6.5.2</w:t>
      </w:r>
      <w:r>
        <w:tab/>
        <w:t>UE antenna</w:t>
      </w:r>
      <w:r w:rsidRPr="00444E61">
        <w:t xml:space="preserve"> characteristics</w:t>
      </w:r>
      <w:bookmarkEnd w:id="36"/>
      <w:bookmarkEnd w:id="37"/>
      <w:bookmarkEnd w:id="38"/>
      <w:bookmarkEnd w:id="39"/>
    </w:p>
    <w:p w14:paraId="5FEFA4D7" w14:textId="77777777" w:rsidR="00312E2E" w:rsidRDefault="00312E2E" w:rsidP="00312E2E">
      <w:pPr>
        <w:pStyle w:val="Heading4"/>
      </w:pPr>
      <w:bookmarkStart w:id="40" w:name="_Toc184718069"/>
      <w:r>
        <w:t>6.5.2.1</w:t>
      </w:r>
      <w:r>
        <w:tab/>
        <w:t>General considerations</w:t>
      </w:r>
      <w:bookmarkEnd w:id="40"/>
    </w:p>
    <w:p w14:paraId="0793AEF1" w14:textId="77777777" w:rsidR="00312E2E" w:rsidRDefault="00312E2E" w:rsidP="00312E2E">
      <w:r w:rsidRPr="00604EEC">
        <w:t xml:space="preserve">One of the key issues </w:t>
      </w:r>
      <w:r>
        <w:t xml:space="preserve">for this range </w:t>
      </w:r>
      <w:r w:rsidRPr="00604EEC">
        <w:t xml:space="preserve">is </w:t>
      </w:r>
      <w:r>
        <w:t>the</w:t>
      </w:r>
      <w:r w:rsidRPr="00604EEC">
        <w:t xml:space="preserve"> UE RF architecture. While existing FR1 system parameters are defined for frequencies up to 7.1GHz, same FR1 principles are already assumed for e.g. 7.1-8.4GHz, which is however below the considered range of 14.8-15.3GHz. At the same time, the lower bound for the FR2 starts at 24.25GHz, which is notably higher than 15.3GHz. </w:t>
      </w:r>
      <w:r>
        <w:t>A</w:t>
      </w:r>
      <w:r w:rsidRPr="00CF6E98">
        <w:t xml:space="preserve"> choice for a particular UE RF architecture at these frequency ranges </w:t>
      </w:r>
      <w:r>
        <w:t xml:space="preserve">should consider </w:t>
      </w:r>
      <w:r w:rsidRPr="00CF6E98">
        <w:t>implementation feasibility</w:t>
      </w:r>
      <w:r>
        <w:t>, e.g. physical constraints in case of</w:t>
      </w:r>
      <w:r w:rsidRPr="00CF6E98">
        <w:t xml:space="preserve"> handheld devices</w:t>
      </w:r>
      <w:r>
        <w:t>,</w:t>
      </w:r>
      <w:r w:rsidRPr="00CF6E98">
        <w:t xml:space="preserve"> and anticipated performance</w:t>
      </w:r>
      <w:r>
        <w:t>, such as coverage</w:t>
      </w:r>
      <w:r w:rsidRPr="00CF6E98">
        <w:t xml:space="preserve"> </w:t>
      </w:r>
      <w:r>
        <w:t>(as highlighted in Figure 6.5.2-1 in TR 38.820).</w:t>
      </w:r>
      <w:r w:rsidRPr="00CF6E98">
        <w:t xml:space="preserve"> </w:t>
      </w:r>
      <w:r>
        <w:t>T</w:t>
      </w:r>
      <w:r w:rsidRPr="00CF6E98">
        <w:t xml:space="preserve">he capabilities of PA technology in the FR2 frequency range motivated 3GPP to consider a UE architecture which relies on panels performing </w:t>
      </w:r>
      <w:proofErr w:type="spellStart"/>
      <w:r w:rsidRPr="00CF6E98">
        <w:t>analog</w:t>
      </w:r>
      <w:proofErr w:type="spellEnd"/>
      <w:r w:rsidRPr="00CF6E98">
        <w:t xml:space="preserve"> </w:t>
      </w:r>
      <w:proofErr w:type="gramStart"/>
      <w:r w:rsidRPr="00CF6E98">
        <w:t>beam-forming</w:t>
      </w:r>
      <w:proofErr w:type="gramEnd"/>
      <w:r w:rsidRPr="00CF6E98">
        <w:t xml:space="preserve">, which was also considered as a feasible option from the handheld device implementation perspective. </w:t>
      </w:r>
      <w:r>
        <w:t>In contrast,</w:t>
      </w:r>
      <w:r w:rsidRPr="00CF6E98">
        <w:t xml:space="preserve"> panels and </w:t>
      </w:r>
      <w:proofErr w:type="spellStart"/>
      <w:r w:rsidRPr="00CF6E98">
        <w:t>analog</w:t>
      </w:r>
      <w:proofErr w:type="spellEnd"/>
      <w:r w:rsidRPr="00CF6E98">
        <w:t xml:space="preserve"> </w:t>
      </w:r>
      <w:proofErr w:type="gramStart"/>
      <w:r w:rsidRPr="00CF6E98">
        <w:t>beam-forming</w:t>
      </w:r>
      <w:proofErr w:type="gramEnd"/>
      <w:r w:rsidRPr="00CF6E98">
        <w:t xml:space="preserve"> </w:t>
      </w:r>
      <w:r>
        <w:t xml:space="preserve">are not feasible </w:t>
      </w:r>
      <w:r w:rsidRPr="00CF6E98">
        <w:t>for lower FR1 frequencies.</w:t>
      </w:r>
      <w:r w:rsidRPr="00604EEC">
        <w:t xml:space="preserve"> </w:t>
      </w:r>
    </w:p>
    <w:p w14:paraId="47AAF711" w14:textId="778E6725" w:rsidR="00312E2E" w:rsidRDefault="00312E2E" w:rsidP="00312E2E">
      <w:r w:rsidRPr="001C07F9">
        <w:lastRenderedPageBreak/>
        <w:t xml:space="preserve">In the context of the UE RF architecture, better UL coverage at FR2 frequencies was one of the key driving factors to consider the UE RF design with panels performing </w:t>
      </w:r>
      <w:proofErr w:type="spellStart"/>
      <w:r w:rsidRPr="001C07F9">
        <w:t>analog</w:t>
      </w:r>
      <w:proofErr w:type="spellEnd"/>
      <w:r w:rsidRPr="001C07F9">
        <w:t xml:space="preserve"> </w:t>
      </w:r>
      <w:proofErr w:type="gramStart"/>
      <w:r w:rsidRPr="001C07F9">
        <w:t>beam-forming</w:t>
      </w:r>
      <w:proofErr w:type="gramEnd"/>
      <w:r w:rsidRPr="001C07F9">
        <w:t xml:space="preserve">. An FR2-like array antenna system incorporates </w:t>
      </w:r>
      <w:proofErr w:type="spellStart"/>
      <w:r w:rsidRPr="001C07F9">
        <w:t>analog</w:t>
      </w:r>
      <w:proofErr w:type="spellEnd"/>
      <w:r w:rsidRPr="001C07F9">
        <w:t xml:space="preserve"> beamforming into the array antenna to increase the coherent EIRP gain, thus helping to reduce the path loss between the UE and the base station. Furthermore, the FR2 array antenna, LNAs, PAs, beamformers, and PMIC are integrated into a single package, small form factor of which was also considered as a feasible option from the handheld device implementation perspective. </w:t>
      </w:r>
      <w:r>
        <w:t>As for the frequencies around 10-15GHz, previous work</w:t>
      </w:r>
      <w:r w:rsidRPr="001C07F9">
        <w:t xml:space="preserve"> in TR 38.820 </w:t>
      </w:r>
      <w:r>
        <w:t xml:space="preserve">studied feasibility </w:t>
      </w:r>
      <w:r w:rsidRPr="001C07F9">
        <w:t xml:space="preserve">of FR2 principles in hand-held devices operating </w:t>
      </w:r>
      <w:r>
        <w:t xml:space="preserve">in that </w:t>
      </w:r>
      <w:r w:rsidRPr="001C07F9">
        <w:t>frequency range</w:t>
      </w:r>
      <w:r>
        <w:t>. One of the main challenges</w:t>
      </w:r>
      <w:r w:rsidRPr="001C07F9">
        <w:t xml:space="preserve"> is the size of potential FR2 panel and, as noted in TR 38.820, </w:t>
      </w:r>
      <w:r w:rsidRPr="00274DFD">
        <w:rPr>
          <w:i/>
          <w:iCs/>
        </w:rPr>
        <w:t>"… we can see that the antenna module doubles in size going from 28 GHz to 20 GHz and further doubles at 14 GHz</w:t>
      </w:r>
      <w:r w:rsidRPr="001C07F9">
        <w:t>". Figure 6.5.2</w:t>
      </w:r>
      <w:ins w:id="41" w:author="Alexander Sayenko" w:date="2025-01-24T22:38:00Z" w16du:dateUtc="2025-01-24T20:38:00Z">
        <w:r>
          <w:t>.1</w:t>
        </w:r>
      </w:ins>
      <w:r w:rsidRPr="001C07F9">
        <w:t>-</w:t>
      </w:r>
      <w:r>
        <w:t>1</w:t>
      </w:r>
      <w:r w:rsidRPr="001C07F9">
        <w:t xml:space="preserve"> presents </w:t>
      </w:r>
      <w:r>
        <w:t xml:space="preserve">an example of </w:t>
      </w:r>
      <w:r w:rsidRPr="001C07F9">
        <w:t>the patch width and ground plane extension based on the microstrip patch array design assuming four elements with half-wavelength spacing.</w:t>
      </w:r>
    </w:p>
    <w:p w14:paraId="04D524C4" w14:textId="77777777" w:rsidR="00312E2E" w:rsidRDefault="00312E2E" w:rsidP="00312E2E">
      <w:pPr>
        <w:jc w:val="center"/>
      </w:pPr>
      <w:r w:rsidRPr="0075325E">
        <w:rPr>
          <w:noProof/>
          <w:lang w:val="en-US" w:eastAsia="zh-CN"/>
        </w:rPr>
        <w:drawing>
          <wp:inline distT="0" distB="0" distL="0" distR="0" wp14:anchorId="46404AF4" wp14:editId="2B883D92">
            <wp:extent cx="3752602" cy="2921977"/>
            <wp:effectExtent l="0" t="0" r="635" b="0"/>
            <wp:docPr id="30" name="Picture 3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different colored bars&#10;&#10;Description automatically generated with medium confidence"/>
                    <pic:cNvPicPr/>
                  </pic:nvPicPr>
                  <pic:blipFill>
                    <a:blip r:embed="rId15"/>
                    <a:stretch>
                      <a:fillRect/>
                    </a:stretch>
                  </pic:blipFill>
                  <pic:spPr>
                    <a:xfrm>
                      <a:off x="0" y="0"/>
                      <a:ext cx="3784715" cy="2946982"/>
                    </a:xfrm>
                    <a:prstGeom prst="rect">
                      <a:avLst/>
                    </a:prstGeom>
                  </pic:spPr>
                </pic:pic>
              </a:graphicData>
            </a:graphic>
          </wp:inline>
        </w:drawing>
      </w:r>
    </w:p>
    <w:p w14:paraId="7FF021A8" w14:textId="50846510" w:rsidR="00312E2E" w:rsidRPr="0075325E" w:rsidRDefault="00312E2E" w:rsidP="00312E2E">
      <w:pPr>
        <w:pStyle w:val="TF"/>
        <w:rPr>
          <w:rStyle w:val="Strong"/>
          <w:b/>
        </w:rPr>
      </w:pPr>
      <w:r w:rsidRPr="0075325E">
        <w:rPr>
          <w:rStyle w:val="Strong"/>
        </w:rPr>
        <w:t xml:space="preserve">Figure </w:t>
      </w:r>
      <w:r>
        <w:rPr>
          <w:rStyle w:val="Strong"/>
        </w:rPr>
        <w:t>6.5.2</w:t>
      </w:r>
      <w:ins w:id="42" w:author="Alexander Sayenko" w:date="2025-01-24T22:37:00Z" w16du:dateUtc="2025-01-24T20:37:00Z">
        <w:r>
          <w:rPr>
            <w:rStyle w:val="Strong"/>
          </w:rPr>
          <w:t>.1</w:t>
        </w:r>
      </w:ins>
      <w:r w:rsidRPr="0075325E">
        <w:rPr>
          <w:rStyle w:val="Strong"/>
        </w:rPr>
        <w:t>-</w:t>
      </w:r>
      <w:r>
        <w:rPr>
          <w:rStyle w:val="Strong"/>
        </w:rPr>
        <w:t>1</w:t>
      </w:r>
      <w:r w:rsidRPr="0075325E">
        <w:rPr>
          <w:rStyle w:val="Strong"/>
        </w:rPr>
        <w:t xml:space="preserve">: Patch array dimensions vs. frequency </w:t>
      </w:r>
    </w:p>
    <w:p w14:paraId="3A481B8C" w14:textId="4F8931ED" w:rsidR="00312E2E" w:rsidRDefault="00312E2E" w:rsidP="00312E2E">
      <w:pPr>
        <w:pStyle w:val="Body"/>
        <w:rPr>
          <w:rStyle w:val="Hyperlink0"/>
          <w:lang w:val="en-US"/>
        </w:rPr>
      </w:pPr>
      <w:r w:rsidRPr="00781C36">
        <w:rPr>
          <w:rStyle w:val="Hyperlink0"/>
          <w:lang w:val="en-US"/>
        </w:rPr>
        <w:t>For more detailed information on the potential array antenna size operating at the considered frequency of 15GHz, Figure 6.5.2</w:t>
      </w:r>
      <w:ins w:id="43" w:author="Alexander Sayenko" w:date="2025-01-24T22:38:00Z" w16du:dateUtc="2025-01-24T20:38:00Z">
        <w:r>
          <w:rPr>
            <w:rStyle w:val="Hyperlink0"/>
            <w:lang w:val="en-US"/>
          </w:rPr>
          <w:t>.1</w:t>
        </w:r>
      </w:ins>
      <w:r w:rsidRPr="00781C36">
        <w:rPr>
          <w:rStyle w:val="Hyperlink0"/>
          <w:lang w:val="en-US"/>
        </w:rPr>
        <w:t>-</w:t>
      </w:r>
      <w:r>
        <w:rPr>
          <w:rStyle w:val="Hyperlink0"/>
          <w:lang w:val="en-US"/>
        </w:rPr>
        <w:t>2</w:t>
      </w:r>
      <w:r w:rsidRPr="00781C36">
        <w:rPr>
          <w:rStyle w:val="Hyperlink0"/>
          <w:lang w:val="en-US"/>
        </w:rPr>
        <w:t xml:space="preserve"> below presents several </w:t>
      </w:r>
      <w:r>
        <w:rPr>
          <w:rStyle w:val="Hyperlink0"/>
          <w:lang w:val="en-US"/>
        </w:rPr>
        <w:t xml:space="preserve">example </w:t>
      </w:r>
      <w:r w:rsidRPr="00781C36">
        <w:rPr>
          <w:rStyle w:val="Hyperlink0"/>
          <w:lang w:val="en-US"/>
        </w:rPr>
        <w:t>cases with different antenna arrangements accounting for the typical spacing between elements of the array antenna of half wavelength. As can be seen from the figure</w:t>
      </w:r>
      <w:r>
        <w:rPr>
          <w:rStyle w:val="Hyperlink0"/>
          <w:lang w:val="en-US"/>
        </w:rPr>
        <w:t xml:space="preserve"> for a typical inter-element antenna spacing, the</w:t>
      </w:r>
      <w:r w:rsidRPr="00781C36">
        <w:rPr>
          <w:rStyle w:val="Hyperlink0"/>
          <w:lang w:val="en-US"/>
        </w:rPr>
        <w:t xml:space="preserve"> total antenna array size becomes much larger comparing to the FR2 sizes.</w:t>
      </w:r>
    </w:p>
    <w:p w14:paraId="7B55AAE3" w14:textId="77777777" w:rsidR="00312E2E" w:rsidRDefault="00312E2E" w:rsidP="00312E2E">
      <w:pPr>
        <w:pStyle w:val="Body"/>
        <w:rPr>
          <w:rStyle w:val="Hyperlink0"/>
          <w:lang w:val="en-US"/>
        </w:rPr>
      </w:pPr>
    </w:p>
    <w:p w14:paraId="2089CF49" w14:textId="77777777" w:rsidR="00312E2E" w:rsidRDefault="00312E2E" w:rsidP="00312E2E">
      <w:pPr>
        <w:pStyle w:val="TH"/>
        <w:rPr>
          <w:rStyle w:val="Hyperlink0"/>
          <w:lang w:val="en-US"/>
        </w:rPr>
      </w:pPr>
      <w:r w:rsidRPr="00FB5C9F">
        <w:rPr>
          <w:rFonts w:eastAsia="Malgun Gothic"/>
          <w:noProof/>
          <w:lang w:val="en-US"/>
        </w:rPr>
        <w:drawing>
          <wp:inline distT="0" distB="0" distL="0" distR="0" wp14:anchorId="24AED618" wp14:editId="62581834">
            <wp:extent cx="6122035" cy="2032000"/>
            <wp:effectExtent l="0" t="0" r="0" b="0"/>
            <wp:docPr id="52" name="Picture 51" descr="A green rectangle with orange circl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descr="A green rectangle with orange circles and black text&#10;&#10;Description automatically generated"/>
                    <pic:cNvPicPr>
                      <a:picLocks noChangeAspect="1"/>
                    </pic:cNvPicPr>
                  </pic:nvPicPr>
                  <pic:blipFill>
                    <a:blip r:embed="rId16"/>
                    <a:stretch>
                      <a:fillRect/>
                    </a:stretch>
                  </pic:blipFill>
                  <pic:spPr>
                    <a:xfrm>
                      <a:off x="0" y="0"/>
                      <a:ext cx="6122035" cy="2032000"/>
                    </a:xfrm>
                    <a:prstGeom prst="rect">
                      <a:avLst/>
                    </a:prstGeom>
                  </pic:spPr>
                </pic:pic>
              </a:graphicData>
            </a:graphic>
          </wp:inline>
        </w:drawing>
      </w:r>
    </w:p>
    <w:p w14:paraId="61E1F112" w14:textId="57E4E175" w:rsidR="00312E2E" w:rsidRPr="00A0556C" w:rsidRDefault="00312E2E" w:rsidP="00312E2E">
      <w:pPr>
        <w:pStyle w:val="TF"/>
        <w:rPr>
          <w:rStyle w:val="Hyperlink0"/>
          <w:b w:val="0"/>
          <w:bCs/>
          <w:lang w:val="en-US"/>
        </w:rPr>
      </w:pPr>
      <w:r w:rsidRPr="00A0556C">
        <w:rPr>
          <w:rStyle w:val="Strong"/>
        </w:rPr>
        <w:t>Figure 6.5.2</w:t>
      </w:r>
      <w:ins w:id="44" w:author="Alexander Sayenko" w:date="2025-01-24T22:38:00Z" w16du:dateUtc="2025-01-24T20:38:00Z">
        <w:r>
          <w:rPr>
            <w:rStyle w:val="Strong"/>
          </w:rPr>
          <w:t>.1</w:t>
        </w:r>
      </w:ins>
      <w:r w:rsidRPr="00A0556C">
        <w:rPr>
          <w:rStyle w:val="Strong"/>
        </w:rPr>
        <w:t>-2: Estimated antenna size at 15GHz</w:t>
      </w:r>
    </w:p>
    <w:p w14:paraId="33EA194E" w14:textId="05674DDD" w:rsidR="00312E2E" w:rsidRDefault="00312E2E" w:rsidP="00312E2E">
      <w:pPr>
        <w:rPr>
          <w:rStyle w:val="Hyperlink0"/>
          <w:lang w:val="en-US"/>
        </w:rPr>
      </w:pPr>
      <w:r>
        <w:rPr>
          <w:rStyle w:val="Hyperlink0"/>
          <w:lang w:val="en-US"/>
        </w:rPr>
        <w:t xml:space="preserve">Figure </w:t>
      </w:r>
      <w:r w:rsidRPr="00E40F16">
        <w:rPr>
          <w:rStyle w:val="Hyperlink0"/>
          <w:lang w:val="en-US"/>
        </w:rPr>
        <w:t>6.5.2</w:t>
      </w:r>
      <w:ins w:id="45" w:author="Alexander Sayenko" w:date="2025-01-24T22:39:00Z" w16du:dateUtc="2025-01-24T20:39:00Z">
        <w:r>
          <w:rPr>
            <w:rStyle w:val="Hyperlink0"/>
            <w:lang w:val="en-US"/>
          </w:rPr>
          <w:t>.1</w:t>
        </w:r>
      </w:ins>
      <w:r w:rsidRPr="00E40F16">
        <w:rPr>
          <w:rStyle w:val="Hyperlink0"/>
          <w:lang w:val="en-US"/>
        </w:rPr>
        <w:t>-</w:t>
      </w:r>
      <w:r>
        <w:rPr>
          <w:rStyle w:val="Hyperlink0"/>
          <w:lang w:val="en-US"/>
        </w:rPr>
        <w:t xml:space="preserve">3 below illustrates an example of a survey of the internal area used by four different commercially available 5G devices for FR1 (based on individual company contributions in RAN4).  The FR2 area is calculated based a single 4x1 reference design, the configuration used as the basis for current FR2 spherical coverage requirements.  Additionally, an estimate of the required 12-15GHz antenna array area is provided for comparison, similarly based on a </w:t>
      </w:r>
      <w:r>
        <w:rPr>
          <w:rStyle w:val="Hyperlink0"/>
          <w:lang w:val="en-US"/>
        </w:rPr>
        <w:lastRenderedPageBreak/>
        <w:t xml:space="preserve">4x1 microstrip patch array with half-wavelength spacing. So, </w:t>
      </w:r>
      <w:r>
        <w:rPr>
          <w:lang w:val="en-US"/>
        </w:rPr>
        <w:t>assuming dedicated apertures, an estimated 4x1 array at 12-15 GHz would represent an additional area growth on the order of 30-70% relative to antenna area usage currently needed to support FR1.</w:t>
      </w:r>
    </w:p>
    <w:p w14:paraId="36D9900A" w14:textId="77777777" w:rsidR="00312E2E" w:rsidRPr="00AA5AB5" w:rsidRDefault="00312E2E" w:rsidP="00312E2E">
      <w:pPr>
        <w:pStyle w:val="TH"/>
        <w:rPr>
          <w:rStyle w:val="Hyperlink0"/>
          <w:lang w:val="en-US"/>
        </w:rPr>
      </w:pPr>
      <w:r w:rsidRPr="00901116">
        <w:rPr>
          <w:rStyle w:val="Hyperlink0"/>
          <w:noProof/>
          <w:lang w:val="en-US"/>
        </w:rPr>
        <w:drawing>
          <wp:inline distT="0" distB="0" distL="0" distR="0" wp14:anchorId="68A579A6" wp14:editId="2F38D1B0">
            <wp:extent cx="6122035" cy="2409190"/>
            <wp:effectExtent l="0" t="0" r="0" b="3810"/>
            <wp:docPr id="151818963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89631" name="Picture 1" descr="A graph of different colored squares&#10;&#10;Description automatically generated"/>
                    <pic:cNvPicPr/>
                  </pic:nvPicPr>
                  <pic:blipFill>
                    <a:blip r:embed="rId17"/>
                    <a:stretch>
                      <a:fillRect/>
                    </a:stretch>
                  </pic:blipFill>
                  <pic:spPr>
                    <a:xfrm>
                      <a:off x="0" y="0"/>
                      <a:ext cx="6122035" cy="2409190"/>
                    </a:xfrm>
                    <a:prstGeom prst="rect">
                      <a:avLst/>
                    </a:prstGeom>
                  </pic:spPr>
                </pic:pic>
              </a:graphicData>
            </a:graphic>
          </wp:inline>
        </w:drawing>
      </w:r>
    </w:p>
    <w:p w14:paraId="5377AD24" w14:textId="6942CA60" w:rsidR="00312E2E" w:rsidRPr="00A0556C" w:rsidRDefault="00312E2E" w:rsidP="00312E2E">
      <w:pPr>
        <w:pStyle w:val="TF"/>
        <w:rPr>
          <w:rStyle w:val="Strong"/>
          <w:b/>
          <w:bCs w:val="0"/>
        </w:rPr>
      </w:pPr>
      <w:r w:rsidRPr="00A0556C">
        <w:rPr>
          <w:rStyle w:val="Strong"/>
        </w:rPr>
        <w:t>Figure 6.5.2</w:t>
      </w:r>
      <w:ins w:id="46" w:author="Alexander Sayenko" w:date="2025-01-24T22:39:00Z" w16du:dateUtc="2025-01-24T20:39:00Z">
        <w:r>
          <w:rPr>
            <w:rStyle w:val="Strong"/>
          </w:rPr>
          <w:t>.1</w:t>
        </w:r>
      </w:ins>
      <w:r w:rsidRPr="00A0556C">
        <w:rPr>
          <w:rStyle w:val="Strong"/>
        </w:rPr>
        <w:t>-3: A survey of internal area usage for FR1, FR2 and estimated 13-15GHz antennas</w:t>
      </w:r>
    </w:p>
    <w:p w14:paraId="313A324B" w14:textId="6CE54D17" w:rsidR="00312E2E" w:rsidRDefault="00312E2E" w:rsidP="00312E2E">
      <w:pPr>
        <w:rPr>
          <w:rFonts w:eastAsia="Malgun Gothic"/>
          <w:lang w:eastAsia="ko-KR"/>
        </w:rPr>
      </w:pPr>
      <w:r>
        <w:rPr>
          <w:lang w:val="en-US"/>
        </w:rPr>
        <w:t>In addition, support of analog beamforming in 15GHz might impose a substantial growth and volume requirements dedicated for cellular antennas.  Furthermore, the nature of such an array might constrain the dimensions leading to implementation challenges in densely integrated consumer devices</w:t>
      </w:r>
      <w:r>
        <w:rPr>
          <w:rStyle w:val="Hyperlink0"/>
          <w:lang w:val="en-US"/>
        </w:rPr>
        <w:t xml:space="preserve"> that can be of different form factors</w:t>
      </w:r>
      <w:r w:rsidRPr="00781C36">
        <w:rPr>
          <w:rStyle w:val="Hyperlink0"/>
          <w:lang w:val="en-US"/>
        </w:rPr>
        <w:t>. For instance, Figure 6.5.2</w:t>
      </w:r>
      <w:ins w:id="47" w:author="Alexander Sayenko" w:date="2025-01-24T22:39:00Z" w16du:dateUtc="2025-01-24T20:39:00Z">
        <w:r>
          <w:rPr>
            <w:rStyle w:val="Hyperlink0"/>
            <w:lang w:val="en-US"/>
          </w:rPr>
          <w:t>.1</w:t>
        </w:r>
      </w:ins>
      <w:r w:rsidRPr="00781C36">
        <w:rPr>
          <w:rStyle w:val="Hyperlink0"/>
          <w:lang w:val="en-US"/>
        </w:rPr>
        <w:t>-</w:t>
      </w:r>
      <w:r>
        <w:rPr>
          <w:rStyle w:val="Hyperlink0"/>
          <w:lang w:val="en-US"/>
        </w:rPr>
        <w:t>4</w:t>
      </w:r>
      <w:r w:rsidRPr="00781C36">
        <w:rPr>
          <w:rStyle w:val="Hyperlink0"/>
          <w:lang w:val="en-US"/>
        </w:rPr>
        <w:t xml:space="preserve"> shows </w:t>
      </w:r>
      <w:r>
        <w:rPr>
          <w:rStyle w:val="Hyperlink0"/>
          <w:lang w:val="en-US"/>
        </w:rPr>
        <w:t xml:space="preserve">an example of </w:t>
      </w:r>
      <w:r w:rsidRPr="00781C36">
        <w:rPr>
          <w:rStyle w:val="Hyperlink0"/>
          <w:lang w:val="en-US"/>
        </w:rPr>
        <w:t xml:space="preserve">the PCB of a foldable phone, from which one can see that </w:t>
      </w:r>
      <w:r w:rsidRPr="00781C36">
        <w:rPr>
          <w:rFonts w:eastAsia="Malgun Gothic"/>
          <w:lang w:eastAsia="ko-KR"/>
        </w:rPr>
        <w:t xml:space="preserve">it </w:t>
      </w:r>
      <w:r>
        <w:rPr>
          <w:rFonts w:eastAsia="Malgun Gothic"/>
          <w:lang w:eastAsia="ko-KR"/>
        </w:rPr>
        <w:t>might be challenging</w:t>
      </w:r>
      <w:r w:rsidRPr="00781C36">
        <w:rPr>
          <w:rFonts w:eastAsia="Malgun Gothic"/>
          <w:lang w:eastAsia="ko-KR"/>
        </w:rPr>
        <w:t xml:space="preserve"> to mount single patch antennas on four edges or the backside of the smartphone considering the larger array size and the already-packed smartphone space. </w:t>
      </w:r>
      <w:r w:rsidRPr="00781C36">
        <w:t xml:space="preserve">In other words, it </w:t>
      </w:r>
      <w:r>
        <w:t>can be difficult</w:t>
      </w:r>
      <w:r w:rsidRPr="00781C36">
        <w:t xml:space="preserve"> </w:t>
      </w:r>
      <w:r>
        <w:t xml:space="preserve">for a hand-held </w:t>
      </w:r>
      <w:r w:rsidRPr="00781C36">
        <w:t>to assume that there will be extra space in all required physical dimensions</w:t>
      </w:r>
      <w:r>
        <w:t xml:space="preserve"> making it challenging, at least from the packing perspective, to put FR2-like panels </w:t>
      </w:r>
      <w:r w:rsidRPr="00604EEC">
        <w:t>supporting the 15GHz range</w:t>
      </w:r>
      <w:r>
        <w:t>.</w:t>
      </w:r>
      <w:r w:rsidRPr="00604EEC">
        <w:t xml:space="preserve"> </w:t>
      </w:r>
    </w:p>
    <w:p w14:paraId="20A83686" w14:textId="77777777" w:rsidR="00312E2E" w:rsidRDefault="00312E2E" w:rsidP="00312E2E">
      <w:pPr>
        <w:pStyle w:val="TH"/>
      </w:pPr>
      <w:r w:rsidRPr="00FB5C9F">
        <w:rPr>
          <w:rFonts w:eastAsia="Malgun Gothic"/>
          <w:noProof/>
          <w:lang w:val="en-US" w:eastAsia="ko-KR"/>
        </w:rPr>
        <w:drawing>
          <wp:inline distT="0" distB="0" distL="0" distR="0" wp14:anchorId="31D1147F" wp14:editId="3D0C1185">
            <wp:extent cx="3555802" cy="1561465"/>
            <wp:effectExtent l="0" t="0" r="6985" b="635"/>
            <wp:docPr id="1651465250" name="그림 1" descr="A close-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A close-up of a device&#10;&#10;Description automatically generated"/>
                    <pic:cNvPicPr>
                      <a:picLocks noChangeAspect="1" noChangeArrowheads="1"/>
                    </pic:cNvPicPr>
                  </pic:nvPicPr>
                  <pic:blipFill rotWithShape="1">
                    <a:blip r:embed="rId18">
                      <a:extLst>
                        <a:ext uri="{28A0092B-C50C-407E-A947-70E740481C1C}">
                          <a14:useLocalDpi xmlns:a14="http://schemas.microsoft.com/office/drawing/2010/main" val="0"/>
                        </a:ext>
                      </a:extLst>
                    </a:blip>
                    <a:srcRect l="1292" t="5450" r="1975" b="4934"/>
                    <a:stretch/>
                  </pic:blipFill>
                  <pic:spPr bwMode="auto">
                    <a:xfrm>
                      <a:off x="0" y="0"/>
                      <a:ext cx="3557182" cy="1562071"/>
                    </a:xfrm>
                    <a:prstGeom prst="rect">
                      <a:avLst/>
                    </a:prstGeom>
                    <a:noFill/>
                    <a:ln>
                      <a:noFill/>
                    </a:ln>
                    <a:extLst>
                      <a:ext uri="{53640926-AAD7-44D8-BBD7-CCE9431645EC}">
                        <a14:shadowObscured xmlns:a14="http://schemas.microsoft.com/office/drawing/2010/main"/>
                      </a:ext>
                    </a:extLst>
                  </pic:spPr>
                </pic:pic>
              </a:graphicData>
            </a:graphic>
          </wp:inline>
        </w:drawing>
      </w:r>
    </w:p>
    <w:p w14:paraId="70406CE5" w14:textId="30C453FE" w:rsidR="00312E2E" w:rsidRPr="00CE510F" w:rsidRDefault="00312E2E" w:rsidP="00312E2E">
      <w:pPr>
        <w:pStyle w:val="TF"/>
        <w:rPr>
          <w:b w:val="0"/>
          <w:bCs/>
        </w:rPr>
      </w:pPr>
      <w:r w:rsidRPr="00CE510F">
        <w:rPr>
          <w:rStyle w:val="Strong"/>
        </w:rPr>
        <w:t>Figure 6.5.2</w:t>
      </w:r>
      <w:ins w:id="48" w:author="Alexander Sayenko" w:date="2025-01-24T22:39:00Z" w16du:dateUtc="2025-01-24T20:39:00Z">
        <w:r>
          <w:rPr>
            <w:rStyle w:val="Strong"/>
          </w:rPr>
          <w:t>.1</w:t>
        </w:r>
      </w:ins>
      <w:r w:rsidRPr="00CE510F">
        <w:rPr>
          <w:rStyle w:val="Strong"/>
        </w:rPr>
        <w:t>-4: Main PCB of a foldable mobile phone.</w:t>
      </w:r>
    </w:p>
    <w:p w14:paraId="729E9290" w14:textId="77777777" w:rsidR="00312E2E" w:rsidRPr="009F360B" w:rsidRDefault="00312E2E" w:rsidP="00312E2E"/>
    <w:p w14:paraId="48698471" w14:textId="77777777" w:rsidR="00312E2E" w:rsidRDefault="00312E2E" w:rsidP="00312E2E">
      <w:pPr>
        <w:pStyle w:val="Heading4"/>
      </w:pPr>
      <w:bookmarkStart w:id="49" w:name="_Toc184718070"/>
      <w:r>
        <w:t>6.5.2.2</w:t>
      </w:r>
      <w:r>
        <w:tab/>
        <w:t>Design with patch antennas</w:t>
      </w:r>
      <w:bookmarkEnd w:id="49"/>
    </w:p>
    <w:p w14:paraId="130AACB5" w14:textId="77777777" w:rsidR="00312E2E" w:rsidRDefault="00312E2E" w:rsidP="00312E2E">
      <w:r>
        <w:t xml:space="preserve">A possible design approach is the adoption of </w:t>
      </w:r>
      <w:r w:rsidRPr="0059215E">
        <w:t xml:space="preserve">patch antennas </w:t>
      </w:r>
      <w:r>
        <w:t xml:space="preserve">(i.e., FR1-like design) which </w:t>
      </w:r>
      <w:r w:rsidRPr="0059215E">
        <w:t xml:space="preserve">gives more flexibility to the OEM vendors because even if a device implements more than one Tx, there is an additional flexibility on where Tx antennas can be placed. Furthermore, more than one Tx antenna can attain coherent EIRP gain through the corresponding placement of co-directional and co-located antennas when coherent Tx is implemented. Each antenna in </w:t>
      </w:r>
      <w:r>
        <w:t>such</w:t>
      </w:r>
      <w:r w:rsidRPr="0059215E">
        <w:t xml:space="preserve"> FR1-like system is linked to its own digital chain, allowing for easy support of coherent Tx. It can also reduce the PA power requirement for each antenna element, thus enhancing the overall power consumption of the UE at 15GHz, and it can help increase the coverage distance between the base station and the UE. For instance, </w:t>
      </w:r>
      <w:r>
        <w:t xml:space="preserve">Figure </w:t>
      </w:r>
      <w:r w:rsidRPr="0059215E">
        <w:t>6.5.2.</w:t>
      </w:r>
      <w:r>
        <w:t>2</w:t>
      </w:r>
      <w:r w:rsidRPr="0059215E">
        <w:t>-1 presents a</w:t>
      </w:r>
      <w:r>
        <w:t>n example of a</w:t>
      </w:r>
      <w:r w:rsidRPr="0059215E">
        <w:t xml:space="preserve"> general mobile device form factor with two patch antennas placed within the device as presented at the distance corresponding to approximately three wavelengths.</w:t>
      </w:r>
    </w:p>
    <w:p w14:paraId="1B906470" w14:textId="77777777" w:rsidR="00312E2E" w:rsidRDefault="00312E2E" w:rsidP="00312E2E"/>
    <w:p w14:paraId="0D69D782" w14:textId="77777777" w:rsidR="00312E2E" w:rsidRDefault="00312E2E" w:rsidP="00312E2E">
      <w:pPr>
        <w:pStyle w:val="TH"/>
      </w:pPr>
      <w:r>
        <w:rPr>
          <w:noProof/>
        </w:rPr>
        <w:lastRenderedPageBreak/>
        <w:drawing>
          <wp:inline distT="0" distB="0" distL="0" distR="0" wp14:anchorId="1308FCCD" wp14:editId="5AD70403">
            <wp:extent cx="1347952" cy="2177120"/>
            <wp:effectExtent l="0" t="0" r="0" b="0"/>
            <wp:docPr id="474292099" name="Picture 1" descr="A white rectangular object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92099" name="Picture 1" descr="A white rectangular object with blue squares&#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370999" cy="2214344"/>
                    </a:xfrm>
                    <a:prstGeom prst="rect">
                      <a:avLst/>
                    </a:prstGeom>
                  </pic:spPr>
                </pic:pic>
              </a:graphicData>
            </a:graphic>
          </wp:inline>
        </w:drawing>
      </w:r>
    </w:p>
    <w:p w14:paraId="307D6042" w14:textId="77777777" w:rsidR="00312E2E" w:rsidRDefault="00312E2E" w:rsidP="00312E2E">
      <w:pPr>
        <w:pStyle w:val="TF"/>
      </w:pPr>
      <w:r>
        <w:t xml:space="preserve">Figure </w:t>
      </w:r>
      <w:r w:rsidRPr="00EB0240">
        <w:t>6.5.2.</w:t>
      </w:r>
      <w:r>
        <w:t>2-1: Exemplary placement of two patch antennas within a mobile device.</w:t>
      </w:r>
    </w:p>
    <w:p w14:paraId="54E28922" w14:textId="77777777" w:rsidR="00312E2E" w:rsidRDefault="00312E2E" w:rsidP="00312E2E">
      <w:r>
        <w:t xml:space="preserve">In this example, each patch antenna gain is around 2dB with the Tx power 23dBm. Additionally, Figure </w:t>
      </w:r>
      <w:r w:rsidRPr="00EB0240">
        <w:t>6.5.2.</w:t>
      </w:r>
      <w:r>
        <w:t>3-2 below presents separately distribution of antenna and EIRP gains for the considered example antennas, where the baseline curve is only one antenna. Gain values are obtained by probing all points in 3D space around considered antennas, which allows us to find the best beam at each point of space independent of the base station location. In other words, these figures illustrate possible gain values, including the best one, regardless of the phone orientation with respect to the base station. As can be seen from this example, from the antenna gain perspective, the average gain comparing to one Tx is around 2.5dB. From the EIRP perspective, the average gain comparing to one Tx is around 5.5dB, which comprises 2.5dB antenna gain and 3dB coming from the fact that there are two Tx antennas each transmitting at 23dBm.</w:t>
      </w:r>
    </w:p>
    <w:p w14:paraId="11B3D04B" w14:textId="77777777" w:rsidR="00312E2E" w:rsidRDefault="00312E2E" w:rsidP="00312E2E"/>
    <w:p w14:paraId="3A4A9926" w14:textId="77777777" w:rsidR="00312E2E" w:rsidRDefault="00312E2E" w:rsidP="00312E2E">
      <w:pPr>
        <w:pStyle w:val="TH"/>
      </w:pPr>
      <w:r w:rsidRPr="00FA29AE">
        <w:rPr>
          <w:noProof/>
        </w:rPr>
        <w:drawing>
          <wp:inline distT="0" distB="0" distL="0" distR="0" wp14:anchorId="05C1C222" wp14:editId="75413A10">
            <wp:extent cx="2898140" cy="2454747"/>
            <wp:effectExtent l="0" t="0" r="0" b="0"/>
            <wp:docPr id="1977044062"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44062" name="Picture 1" descr="A graph of a line graph&#10;&#10;Description automatically generated"/>
                    <pic:cNvPicPr/>
                  </pic:nvPicPr>
                  <pic:blipFill>
                    <a:blip r:embed="rId20"/>
                    <a:stretch>
                      <a:fillRect/>
                    </a:stretch>
                  </pic:blipFill>
                  <pic:spPr>
                    <a:xfrm>
                      <a:off x="0" y="0"/>
                      <a:ext cx="2925585" cy="2477993"/>
                    </a:xfrm>
                    <a:prstGeom prst="rect">
                      <a:avLst/>
                    </a:prstGeom>
                  </pic:spPr>
                </pic:pic>
              </a:graphicData>
            </a:graphic>
          </wp:inline>
        </w:drawing>
      </w:r>
      <w:r w:rsidRPr="00E57A7E">
        <w:rPr>
          <w:noProof/>
        </w:rPr>
        <w:t xml:space="preserve"> </w:t>
      </w:r>
      <w:r>
        <w:rPr>
          <w:noProof/>
        </w:rPr>
        <w:t xml:space="preserve">       </w:t>
      </w:r>
      <w:r w:rsidRPr="00FA29AE">
        <w:rPr>
          <w:noProof/>
        </w:rPr>
        <w:drawing>
          <wp:inline distT="0" distB="0" distL="0" distR="0" wp14:anchorId="625D5BFD" wp14:editId="329EF392">
            <wp:extent cx="2793154" cy="2424057"/>
            <wp:effectExtent l="0" t="0" r="1270" b="1905"/>
            <wp:docPr id="18529776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7769" name="Picture 1" descr="A graph of a number of data&#10;&#10;Description automatically generated with medium confidence"/>
                    <pic:cNvPicPr/>
                  </pic:nvPicPr>
                  <pic:blipFill>
                    <a:blip r:embed="rId21"/>
                    <a:stretch>
                      <a:fillRect/>
                    </a:stretch>
                  </pic:blipFill>
                  <pic:spPr>
                    <a:xfrm>
                      <a:off x="0" y="0"/>
                      <a:ext cx="2839470" cy="2464253"/>
                    </a:xfrm>
                    <a:prstGeom prst="rect">
                      <a:avLst/>
                    </a:prstGeom>
                  </pic:spPr>
                </pic:pic>
              </a:graphicData>
            </a:graphic>
          </wp:inline>
        </w:drawing>
      </w:r>
    </w:p>
    <w:p w14:paraId="5AE220B8" w14:textId="77777777" w:rsidR="00312E2E" w:rsidRDefault="00312E2E" w:rsidP="00312E2E"/>
    <w:p w14:paraId="300E0B7C" w14:textId="77777777" w:rsidR="00312E2E" w:rsidRDefault="00312E2E" w:rsidP="00312E2E">
      <w:pPr>
        <w:pStyle w:val="TF"/>
      </w:pPr>
      <w:r>
        <w:t xml:space="preserve">Figure </w:t>
      </w:r>
      <w:r w:rsidRPr="00EB0240">
        <w:t>6.5.2.</w:t>
      </w:r>
      <w:r>
        <w:t xml:space="preserve">2-2: Antenna and EIRP gain for the considered two Tx antennas. </w:t>
      </w:r>
    </w:p>
    <w:p w14:paraId="25DB6951" w14:textId="77777777" w:rsidR="00312E2E" w:rsidRDefault="00312E2E" w:rsidP="00312E2E">
      <w:r>
        <w:t xml:space="preserve">An additional aspect for the FR1-like antenna design is the resulting radiation pattern. It is worth noting that unlike at the antenna and EIRP gain, which are not very sensitive for the actual placement of Tx antennas, the radiation pattern may vary a lot. For instance, Figure </w:t>
      </w:r>
      <w:r w:rsidRPr="000C463A">
        <w:t>6.5.2.</w:t>
      </w:r>
      <w:r>
        <w:t>2</w:t>
      </w:r>
      <w:r w:rsidRPr="000C463A">
        <w:t>-</w:t>
      </w:r>
      <w:r>
        <w:t xml:space="preserve">3 below presents an example resulting beam pattern from two Tx </w:t>
      </w:r>
      <w:proofErr w:type="gramStart"/>
      <w:r>
        <w:t>antennas</w:t>
      </w:r>
      <w:proofErr w:type="gramEnd"/>
      <w:r>
        <w:t xml:space="preserve"> physical location of which is the same as in Figure </w:t>
      </w:r>
      <w:r w:rsidRPr="000C463A">
        <w:t>6.5.2.</w:t>
      </w:r>
      <w:r>
        <w:t>2</w:t>
      </w:r>
      <w:r w:rsidRPr="000C463A">
        <w:t>-1</w:t>
      </w:r>
      <w:r>
        <w:t>. For the sake of better clarity, we present the resulting radiation pattern in 2D and 3D spaces. Since two Tx antennas are placed at the back side of the phone, the resulting radiation pattern has a big negative gain in the opposite direction.</w:t>
      </w:r>
    </w:p>
    <w:p w14:paraId="6D641706" w14:textId="77777777" w:rsidR="00312E2E" w:rsidRDefault="00312E2E" w:rsidP="00312E2E">
      <w:pPr>
        <w:jc w:val="center"/>
      </w:pPr>
      <w:r w:rsidRPr="003345C3">
        <w:rPr>
          <w:noProof/>
        </w:rPr>
        <w:lastRenderedPageBreak/>
        <w:drawing>
          <wp:inline distT="0" distB="0" distL="0" distR="0" wp14:anchorId="16F2E8C8" wp14:editId="7FD8F1BB">
            <wp:extent cx="2065020" cy="1958209"/>
            <wp:effectExtent l="0" t="0" r="5080" b="0"/>
            <wp:docPr id="1182479344" name="Picture 1" descr="A graph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79344" name="Picture 1" descr="A graph of a hand&#10;&#10;Description automatically generated"/>
                    <pic:cNvPicPr/>
                  </pic:nvPicPr>
                  <pic:blipFill>
                    <a:blip r:embed="rId22"/>
                    <a:stretch>
                      <a:fillRect/>
                    </a:stretch>
                  </pic:blipFill>
                  <pic:spPr>
                    <a:xfrm>
                      <a:off x="0" y="0"/>
                      <a:ext cx="2092669" cy="1984428"/>
                    </a:xfrm>
                    <a:prstGeom prst="rect">
                      <a:avLst/>
                    </a:prstGeom>
                  </pic:spPr>
                </pic:pic>
              </a:graphicData>
            </a:graphic>
          </wp:inline>
        </w:drawing>
      </w:r>
      <w:r>
        <w:t xml:space="preserve">       </w:t>
      </w:r>
      <w:r w:rsidRPr="003345C3">
        <w:rPr>
          <w:noProof/>
        </w:rPr>
        <w:drawing>
          <wp:inline distT="0" distB="0" distL="0" distR="0" wp14:anchorId="40BE922A" wp14:editId="69FA1937">
            <wp:extent cx="1939159" cy="1925308"/>
            <wp:effectExtent l="0" t="0" r="4445" b="5715"/>
            <wp:docPr id="182875341" name="Picture 1" descr="A colorful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5341" name="Picture 1" descr="A colorful diagram of a nuclear model&#10;&#10;Description automatically generated with medium confidence"/>
                    <pic:cNvPicPr/>
                  </pic:nvPicPr>
                  <pic:blipFill>
                    <a:blip r:embed="rId23"/>
                    <a:stretch>
                      <a:fillRect/>
                    </a:stretch>
                  </pic:blipFill>
                  <pic:spPr>
                    <a:xfrm>
                      <a:off x="0" y="0"/>
                      <a:ext cx="1955700" cy="1941731"/>
                    </a:xfrm>
                    <a:prstGeom prst="rect">
                      <a:avLst/>
                    </a:prstGeom>
                  </pic:spPr>
                </pic:pic>
              </a:graphicData>
            </a:graphic>
          </wp:inline>
        </w:drawing>
      </w:r>
    </w:p>
    <w:p w14:paraId="33D42FC6" w14:textId="5AB33A92" w:rsidR="00312E2E" w:rsidRDefault="00312E2E" w:rsidP="00312E2E">
      <w:pPr>
        <w:pStyle w:val="TF"/>
      </w:pPr>
      <w:r>
        <w:t xml:space="preserve">Figure </w:t>
      </w:r>
      <w:r w:rsidRPr="000C463A">
        <w:t>6.5.2.</w:t>
      </w:r>
      <w:r>
        <w:t>2</w:t>
      </w:r>
      <w:r w:rsidRPr="000C463A">
        <w:t>-3</w:t>
      </w:r>
      <w:r>
        <w:t xml:space="preserve">: Radiation pattern for two Tx antennas presented in Figure </w:t>
      </w:r>
      <w:r w:rsidRPr="00E12220">
        <w:t>6.5.2.</w:t>
      </w:r>
      <w:del w:id="50" w:author="Alexander Sayenko" w:date="2025-01-24T22:40:00Z" w16du:dateUtc="2025-01-24T20:40:00Z">
        <w:r w:rsidRPr="00E12220" w:rsidDel="00312E2E">
          <w:delText>x</w:delText>
        </w:r>
      </w:del>
      <w:ins w:id="51" w:author="Alexander Sayenko" w:date="2025-01-24T22:40:00Z" w16du:dateUtc="2025-01-24T20:40:00Z">
        <w:r>
          <w:t>2</w:t>
        </w:r>
      </w:ins>
      <w:r w:rsidRPr="00E12220">
        <w:t>-2</w:t>
      </w:r>
      <w:r>
        <w:t>.</w:t>
      </w:r>
    </w:p>
    <w:p w14:paraId="6E399CAA" w14:textId="77777777" w:rsidR="00312E2E" w:rsidRDefault="00312E2E" w:rsidP="00312E2E">
      <w:r w:rsidRPr="0059215E">
        <w:t xml:space="preserve">On the Rx side, more than one </w:t>
      </w:r>
      <w:r>
        <w:t xml:space="preserve">discrete/ </w:t>
      </w:r>
      <w:r w:rsidRPr="0059215E">
        <w:t xml:space="preserve">FR1-like antenna with digital beamforming can maximize the received signal power to improve the cell edge performance. </w:t>
      </w:r>
      <w:r>
        <w:t>For a cell-</w:t>
      </w:r>
      <w:proofErr w:type="spellStart"/>
      <w:r>
        <w:t>center</w:t>
      </w:r>
      <w:proofErr w:type="spellEnd"/>
      <w:r>
        <w:t xml:space="preserve"> user</w:t>
      </w:r>
      <w:r w:rsidRPr="0059215E">
        <w:t>, instead of maximizing the received signal power</w:t>
      </w:r>
      <w:r>
        <w:t xml:space="preserve">, </w:t>
      </w:r>
      <w:r w:rsidRPr="0059215E">
        <w:t>all antennas can be used jointly to achieve spatial multiplexing gain.</w:t>
      </w:r>
      <w:r w:rsidRPr="00D73E78">
        <w:t xml:space="preserve"> </w:t>
      </w:r>
    </w:p>
    <w:p w14:paraId="333C0884" w14:textId="77777777" w:rsidR="00312E2E" w:rsidRDefault="00312E2E" w:rsidP="00312E2E">
      <w:pPr>
        <w:rPr>
          <w:lang w:eastAsia="ko-KR"/>
        </w:rPr>
      </w:pPr>
    </w:p>
    <w:p w14:paraId="211F7304" w14:textId="77777777" w:rsidR="00312E2E" w:rsidRPr="00C9356C" w:rsidRDefault="00312E2E" w:rsidP="00312E2E">
      <w:pPr>
        <w:pStyle w:val="Heading4"/>
        <w:rPr>
          <w:rFonts w:eastAsia="MS Mincho"/>
          <w:lang w:eastAsia="ja-JP"/>
        </w:rPr>
      </w:pPr>
      <w:bookmarkStart w:id="52" w:name="_Toc184718071"/>
      <w:r w:rsidRPr="00C9356C">
        <w:rPr>
          <w:rFonts w:eastAsia="MS Mincho"/>
          <w:lang w:eastAsia="ja-JP"/>
        </w:rPr>
        <w:t>6.5.2.</w:t>
      </w:r>
      <w:r>
        <w:rPr>
          <w:rFonts w:eastAsia="MS Mincho"/>
          <w:lang w:eastAsia="ja-JP"/>
        </w:rPr>
        <w:t>3</w:t>
      </w:r>
      <w:r w:rsidRPr="00C9356C">
        <w:rPr>
          <w:rFonts w:eastAsia="MS Mincho"/>
          <w:lang w:eastAsia="ja-JP"/>
        </w:rPr>
        <w:tab/>
      </w:r>
      <w:r>
        <w:rPr>
          <w:rFonts w:eastAsia="MS Mincho"/>
          <w:lang w:eastAsia="ja-JP"/>
        </w:rPr>
        <w:t>D</w:t>
      </w:r>
      <w:r w:rsidRPr="00C9356C">
        <w:rPr>
          <w:rFonts w:eastAsia="MS Mincho"/>
          <w:lang w:eastAsia="ja-JP"/>
        </w:rPr>
        <w:t>esign with metal frame antennas</w:t>
      </w:r>
      <w:bookmarkEnd w:id="52"/>
    </w:p>
    <w:p w14:paraId="4E8C29BC" w14:textId="77777777" w:rsidR="00312E2E" w:rsidRDefault="00312E2E" w:rsidP="00312E2E">
      <w:pPr>
        <w:spacing w:line="259" w:lineRule="auto"/>
        <w:jc w:val="both"/>
        <w:rPr>
          <w:rFonts w:eastAsia="Malgun Gothic"/>
          <w:lang w:eastAsia="ko-KR"/>
        </w:rPr>
      </w:pPr>
      <w:r>
        <w:rPr>
          <w:rFonts w:eastAsia="Malgun Gothic"/>
          <w:lang w:eastAsia="ko-KR"/>
        </w:rPr>
        <w:t>A</w:t>
      </w:r>
      <w:r w:rsidRPr="00C9356C">
        <w:rPr>
          <w:rFonts w:eastAsia="Malgun Gothic"/>
          <w:lang w:eastAsia="ko-KR"/>
        </w:rPr>
        <w:t xml:space="preserve"> simulation with two general metal frame Tx antennas </w:t>
      </w:r>
      <w:r w:rsidRPr="00C9356C">
        <w:rPr>
          <w:rFonts w:eastAsia="Malgun Gothic" w:hint="eastAsia"/>
          <w:lang w:eastAsia="ko-KR"/>
        </w:rPr>
        <w:t xml:space="preserve">was conducted </w:t>
      </w:r>
      <w:r w:rsidRPr="00C9356C">
        <w:rPr>
          <w:rFonts w:eastAsia="Malgun Gothic"/>
          <w:lang w:eastAsia="ko-KR"/>
        </w:rPr>
        <w:t xml:space="preserve">to estimate </w:t>
      </w:r>
      <w:r w:rsidRPr="00C9356C">
        <w:rPr>
          <w:rFonts w:eastAsia="Malgun Gothic" w:hint="eastAsia"/>
          <w:lang w:eastAsia="ko-KR"/>
        </w:rPr>
        <w:t xml:space="preserve">the </w:t>
      </w:r>
      <w:r w:rsidRPr="00C9356C">
        <w:rPr>
          <w:rFonts w:eastAsia="Malgun Gothic"/>
          <w:lang w:eastAsia="ko-KR"/>
        </w:rPr>
        <w:t xml:space="preserve">antenna gain </w:t>
      </w:r>
      <w:r w:rsidRPr="00C9356C">
        <w:rPr>
          <w:rFonts w:eastAsia="Malgun Gothic" w:hint="eastAsia"/>
          <w:lang w:eastAsia="ko-KR"/>
        </w:rPr>
        <w:t>and performance for</w:t>
      </w:r>
      <w:r w:rsidRPr="00C9356C">
        <w:rPr>
          <w:rFonts w:eastAsia="Malgun Gothic"/>
          <w:lang w:eastAsia="ko-KR"/>
        </w:rPr>
        <w:t xml:space="preserve"> cases of single-Tx and multi-Tx</w:t>
      </w:r>
      <w:r w:rsidRPr="00C9356C">
        <w:rPr>
          <w:rFonts w:eastAsia="Malgun Gothic" w:hint="eastAsia"/>
          <w:lang w:eastAsia="ko-KR"/>
        </w:rPr>
        <w:t xml:space="preserve"> </w:t>
      </w:r>
      <w:r w:rsidRPr="00C9356C">
        <w:rPr>
          <w:rFonts w:eastAsia="Malgun Gothic"/>
          <w:lang w:eastAsia="ko-KR"/>
        </w:rPr>
        <w:t xml:space="preserve">without beam steering assumptions. The antenna placement for the evaluation is captured in </w:t>
      </w:r>
      <w:r w:rsidRPr="00DF3763">
        <w:rPr>
          <w:rFonts w:eastAsia="Malgun Gothic"/>
          <w:lang w:eastAsia="ko-KR"/>
        </w:rPr>
        <w:t>6.5.2.</w:t>
      </w:r>
      <w:r>
        <w:rPr>
          <w:rFonts w:eastAsia="Malgun Gothic"/>
          <w:lang w:eastAsia="ko-KR"/>
        </w:rPr>
        <w:t>3-1.</w:t>
      </w:r>
    </w:p>
    <w:p w14:paraId="7229DD7F" w14:textId="77777777" w:rsidR="00312E2E" w:rsidRPr="00C9356C" w:rsidRDefault="00312E2E" w:rsidP="00312E2E">
      <w:pPr>
        <w:spacing w:line="259" w:lineRule="auto"/>
        <w:jc w:val="both"/>
        <w:rPr>
          <w:rFonts w:eastAsia="Malgun Gothic"/>
          <w:lang w:eastAsia="ko-KR"/>
        </w:rPr>
      </w:pPr>
    </w:p>
    <w:p w14:paraId="4B2346EC" w14:textId="77777777" w:rsidR="00312E2E" w:rsidRPr="00C9356C" w:rsidRDefault="00312E2E" w:rsidP="00312E2E">
      <w:pPr>
        <w:pStyle w:val="TH"/>
        <w:rPr>
          <w:rFonts w:eastAsia="Malgun Gothic"/>
          <w:lang w:eastAsia="ko-KR"/>
        </w:rPr>
      </w:pPr>
      <w:r w:rsidRPr="00C9356C">
        <w:rPr>
          <w:rFonts w:eastAsia="Malgun Gothic"/>
          <w:noProof/>
          <w:lang w:eastAsia="ko-KR"/>
        </w:rPr>
        <w:drawing>
          <wp:inline distT="0" distB="0" distL="0" distR="0" wp14:anchorId="3AA64985" wp14:editId="42F3CED2">
            <wp:extent cx="1505438" cy="2520000"/>
            <wp:effectExtent l="0" t="0" r="0" b="0"/>
            <wp:docPr id="877282672" name="그림 8" descr="A grey rectangular object with red and blue butt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282672" name="그림 8" descr="A grey rectangular object with red and blue buttons&#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05438" cy="2520000"/>
                    </a:xfrm>
                    <a:prstGeom prst="rect">
                      <a:avLst/>
                    </a:prstGeom>
                    <a:noFill/>
                  </pic:spPr>
                </pic:pic>
              </a:graphicData>
            </a:graphic>
          </wp:inline>
        </w:drawing>
      </w:r>
    </w:p>
    <w:p w14:paraId="2364BA41" w14:textId="77777777" w:rsidR="00312E2E" w:rsidRPr="00C9356C" w:rsidRDefault="00312E2E" w:rsidP="00312E2E">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Pr>
          <w:lang w:eastAsia="ko-KR"/>
        </w:rPr>
        <w:t>3-1</w:t>
      </w:r>
      <w:r w:rsidRPr="00C9356C">
        <w:rPr>
          <w:lang w:eastAsia="ko-KR"/>
        </w:rPr>
        <w:t>: Exemplary placement of metal frame antennas within a mobile device.</w:t>
      </w:r>
    </w:p>
    <w:p w14:paraId="6A4A2661" w14:textId="77777777" w:rsidR="00312E2E" w:rsidRPr="00C9356C" w:rsidRDefault="00312E2E" w:rsidP="00312E2E">
      <w:pPr>
        <w:spacing w:line="259" w:lineRule="auto"/>
        <w:jc w:val="both"/>
        <w:rPr>
          <w:rFonts w:eastAsia="Malgun Gothic"/>
          <w:lang w:eastAsia="ko-KR"/>
        </w:rPr>
      </w:pPr>
      <w:r w:rsidRPr="00C9356C">
        <w:rPr>
          <w:rFonts w:eastAsia="Malgun Gothic"/>
          <w:lang w:eastAsia="ko-KR"/>
        </w:rPr>
        <w:t>W</w:t>
      </w:r>
      <w:r w:rsidRPr="00C9356C">
        <w:rPr>
          <w:rFonts w:eastAsia="Malgun Gothic" w:hint="eastAsia"/>
          <w:lang w:eastAsia="ko-KR"/>
        </w:rPr>
        <w:t xml:space="preserve">ith the assumption above, simulation results of the </w:t>
      </w:r>
      <w:r>
        <w:rPr>
          <w:rFonts w:eastAsia="Malgun Gothic"/>
          <w:lang w:eastAsia="ko-KR"/>
        </w:rPr>
        <w:t xml:space="preserve">above example related to </w:t>
      </w:r>
      <w:r w:rsidRPr="00C9356C">
        <w:rPr>
          <w:rFonts w:eastAsia="Malgun Gothic" w:hint="eastAsia"/>
          <w:lang w:eastAsia="ko-KR"/>
        </w:rPr>
        <w:t xml:space="preserve">antenna performance are summarized in Figure </w:t>
      </w:r>
      <w:r w:rsidRPr="00DF3763">
        <w:rPr>
          <w:rFonts w:eastAsia="Malgun Gothic"/>
          <w:lang w:eastAsia="ko-KR"/>
        </w:rPr>
        <w:t>6.5.2.</w:t>
      </w:r>
      <w:r>
        <w:rPr>
          <w:rFonts w:eastAsia="Malgun Gothic"/>
          <w:lang w:eastAsia="ko-KR"/>
        </w:rPr>
        <w:t>3</w:t>
      </w:r>
      <w:r w:rsidRPr="00DF3763">
        <w:rPr>
          <w:rFonts w:eastAsia="Malgun Gothic"/>
          <w:lang w:eastAsia="ko-KR"/>
        </w:rPr>
        <w:t>-</w:t>
      </w:r>
      <w:r>
        <w:rPr>
          <w:rFonts w:eastAsia="Malgun Gothic"/>
          <w:lang w:eastAsia="ko-KR"/>
        </w:rPr>
        <w:t>2</w:t>
      </w:r>
      <w:r w:rsidRPr="00C9356C">
        <w:rPr>
          <w:rFonts w:eastAsia="Malgun Gothic" w:hint="eastAsia"/>
          <w:lang w:eastAsia="ko-KR"/>
        </w:rPr>
        <w:t xml:space="preserve"> and Table </w:t>
      </w:r>
      <w:r w:rsidRPr="00DF3763">
        <w:rPr>
          <w:rFonts w:eastAsia="Malgun Gothic"/>
          <w:lang w:eastAsia="ko-KR"/>
        </w:rPr>
        <w:t>6.5.2.</w:t>
      </w:r>
      <w:r>
        <w:rPr>
          <w:rFonts w:eastAsia="Malgun Gothic"/>
          <w:lang w:eastAsia="ko-KR"/>
        </w:rPr>
        <w:t>3</w:t>
      </w:r>
      <w:r w:rsidRPr="00DF3763">
        <w:rPr>
          <w:rFonts w:eastAsia="Malgun Gothic"/>
          <w:lang w:eastAsia="ko-KR"/>
        </w:rPr>
        <w:t>-1</w:t>
      </w:r>
      <w:r w:rsidRPr="00C9356C">
        <w:rPr>
          <w:rFonts w:eastAsia="Malgun Gothic" w:hint="eastAsia"/>
          <w:lang w:eastAsia="ko-KR"/>
        </w:rPr>
        <w:t>, which also capture radiation efficiency and directivity in terms of peak antenna gain</w:t>
      </w:r>
      <w:r w:rsidRPr="00C9356C">
        <w:rPr>
          <w:rFonts w:eastAsia="Malgun Gothic"/>
          <w:lang w:eastAsia="ko-KR"/>
        </w:rPr>
        <w:t>s of each scenario</w:t>
      </w:r>
      <w:r w:rsidRPr="00C9356C">
        <w:rPr>
          <w:rFonts w:eastAsia="Malgun Gothic" w:hint="eastAsia"/>
          <w:lang w:eastAsia="ko-KR"/>
        </w:rPr>
        <w:t xml:space="preserve">. </w:t>
      </w:r>
    </w:p>
    <w:p w14:paraId="39AF3E1E" w14:textId="77777777" w:rsidR="00312E2E" w:rsidRPr="00C9356C" w:rsidRDefault="00312E2E" w:rsidP="00312E2E">
      <w:pPr>
        <w:spacing w:line="259" w:lineRule="auto"/>
        <w:jc w:val="both"/>
        <w:rPr>
          <w:rFonts w:eastAsia="Malgun Gothic"/>
          <w:lang w:eastAsia="ko-KR"/>
        </w:rPr>
      </w:pPr>
    </w:p>
    <w:p w14:paraId="12EEC770" w14:textId="77777777" w:rsidR="00312E2E" w:rsidRPr="00C9356C" w:rsidRDefault="00312E2E" w:rsidP="00312E2E">
      <w:pPr>
        <w:pStyle w:val="TH"/>
        <w:rPr>
          <w:rFonts w:eastAsia="Malgun Gothic"/>
          <w:lang w:eastAsia="ko-KR"/>
        </w:rPr>
      </w:pPr>
      <w:r w:rsidRPr="00C9356C">
        <w:rPr>
          <w:rFonts w:eastAsia="Malgun Gothic"/>
          <w:noProof/>
          <w:lang w:eastAsia="ko-KR"/>
        </w:rPr>
        <w:lastRenderedPageBreak/>
        <w:drawing>
          <wp:inline distT="0" distB="0" distL="0" distR="0" wp14:anchorId="176B33E2" wp14:editId="051CF51B">
            <wp:extent cx="6120000" cy="1850568"/>
            <wp:effectExtent l="0" t="0" r="0" b="0"/>
            <wp:docPr id="1032387565" name="그림 4" descr="A graph of metal and met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387565" name="그림 4" descr="A graph of metal and metal&#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0000" cy="1850568"/>
                    </a:xfrm>
                    <a:prstGeom prst="rect">
                      <a:avLst/>
                    </a:prstGeom>
                    <a:noFill/>
                  </pic:spPr>
                </pic:pic>
              </a:graphicData>
            </a:graphic>
          </wp:inline>
        </w:drawing>
      </w:r>
    </w:p>
    <w:p w14:paraId="6D65D28D" w14:textId="77777777" w:rsidR="00312E2E" w:rsidRPr="00C9356C" w:rsidRDefault="00312E2E" w:rsidP="00312E2E">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Pr>
          <w:lang w:eastAsia="ko-KR"/>
        </w:rPr>
        <w:t>3</w:t>
      </w:r>
      <w:r w:rsidRPr="00DF3763">
        <w:rPr>
          <w:lang w:eastAsia="ko-KR"/>
        </w:rPr>
        <w:t>-</w:t>
      </w:r>
      <w:r>
        <w:rPr>
          <w:lang w:eastAsia="ko-KR"/>
        </w:rPr>
        <w:t>2</w:t>
      </w:r>
      <w:r w:rsidRPr="00C9356C">
        <w:rPr>
          <w:lang w:eastAsia="ko-KR"/>
        </w:rPr>
        <w:t xml:space="preserve">: </w:t>
      </w:r>
      <w:r w:rsidRPr="00C9356C">
        <w:rPr>
          <w:rFonts w:hint="eastAsia"/>
          <w:lang w:eastAsia="ko-KR"/>
        </w:rPr>
        <w:t>CDF of peak</w:t>
      </w:r>
      <w:r w:rsidRPr="00C9356C">
        <w:rPr>
          <w:lang w:eastAsia="ko-KR"/>
        </w:rPr>
        <w:t xml:space="preserve"> antenna gains for </w:t>
      </w:r>
      <w:r w:rsidRPr="00C9356C">
        <w:rPr>
          <w:rFonts w:hint="eastAsia"/>
          <w:lang w:eastAsia="ko-KR"/>
        </w:rPr>
        <w:t>metal antennas</w:t>
      </w:r>
    </w:p>
    <w:p w14:paraId="764B5445" w14:textId="77777777" w:rsidR="00312E2E" w:rsidRDefault="00312E2E" w:rsidP="00312E2E">
      <w:pPr>
        <w:pStyle w:val="TH"/>
        <w:rPr>
          <w:lang w:eastAsia="ko-KR"/>
        </w:rPr>
      </w:pPr>
      <w:r w:rsidRPr="00C9356C">
        <w:rPr>
          <w:rFonts w:hint="eastAsia"/>
          <w:lang w:eastAsia="ko-KR"/>
        </w:rPr>
        <w:t>T</w:t>
      </w:r>
      <w:r w:rsidRPr="00C9356C">
        <w:rPr>
          <w:lang w:eastAsia="ko-KR"/>
        </w:rPr>
        <w:t xml:space="preserve">able </w:t>
      </w:r>
      <w:r w:rsidRPr="00DF3763">
        <w:rPr>
          <w:lang w:eastAsia="ko-KR"/>
        </w:rPr>
        <w:t>6.5.2.</w:t>
      </w:r>
      <w:r>
        <w:rPr>
          <w:lang w:eastAsia="ko-KR"/>
        </w:rPr>
        <w:t>3</w:t>
      </w:r>
      <w:r w:rsidRPr="00DF3763">
        <w:rPr>
          <w:lang w:eastAsia="ko-KR"/>
        </w:rPr>
        <w:t>-1</w:t>
      </w:r>
      <w:r w:rsidRPr="00C9356C">
        <w:rPr>
          <w:lang w:eastAsia="ko-KR"/>
        </w:rPr>
        <w:t xml:space="preserve">: </w:t>
      </w:r>
      <w:r w:rsidRPr="00C9356C">
        <w:rPr>
          <w:rFonts w:hint="eastAsia"/>
          <w:lang w:eastAsia="ko-KR"/>
        </w:rPr>
        <w:t xml:space="preserve">Peak </w:t>
      </w:r>
      <w:r w:rsidRPr="00C9356C">
        <w:rPr>
          <w:lang w:eastAsia="ko-KR"/>
        </w:rPr>
        <w:t>antenna gains for one-Tx and two-Tx</w:t>
      </w:r>
    </w:p>
    <w:tbl>
      <w:tblPr>
        <w:tblStyle w:val="1"/>
        <w:tblW w:w="0" w:type="auto"/>
        <w:tblLook w:val="04A0" w:firstRow="1" w:lastRow="0" w:firstColumn="1" w:lastColumn="0" w:noHBand="0" w:noVBand="1"/>
      </w:tblPr>
      <w:tblGrid>
        <w:gridCol w:w="2408"/>
        <w:gridCol w:w="2407"/>
        <w:gridCol w:w="2407"/>
        <w:gridCol w:w="2407"/>
      </w:tblGrid>
      <w:tr w:rsidR="00312E2E" w:rsidRPr="00C9356C" w14:paraId="2247B1C4" w14:textId="77777777" w:rsidTr="00F12F09">
        <w:tc>
          <w:tcPr>
            <w:tcW w:w="2407" w:type="dxa"/>
            <w:shd w:val="clear" w:color="auto" w:fill="D9D9D9"/>
          </w:tcPr>
          <w:p w14:paraId="42ECCE62" w14:textId="77777777" w:rsidR="00312E2E" w:rsidRPr="00C9356C" w:rsidRDefault="00312E2E" w:rsidP="00F12F09">
            <w:pPr>
              <w:pStyle w:val="TAC"/>
              <w:rPr>
                <w:lang w:eastAsia="ko-KR"/>
              </w:rPr>
            </w:pPr>
          </w:p>
        </w:tc>
        <w:tc>
          <w:tcPr>
            <w:tcW w:w="2408" w:type="dxa"/>
            <w:shd w:val="clear" w:color="auto" w:fill="D9D9D9"/>
          </w:tcPr>
          <w:p w14:paraId="11B64E0F" w14:textId="77777777" w:rsidR="00312E2E" w:rsidRPr="00C9356C" w:rsidRDefault="00312E2E" w:rsidP="00F12F09">
            <w:pPr>
              <w:pStyle w:val="TAH"/>
              <w:rPr>
                <w:lang w:eastAsia="ko-KR"/>
              </w:rPr>
            </w:pPr>
            <w:r w:rsidRPr="00C9356C">
              <w:rPr>
                <w:lang w:eastAsia="ko-KR"/>
              </w:rPr>
              <w:t>Ant1</w:t>
            </w:r>
          </w:p>
        </w:tc>
        <w:tc>
          <w:tcPr>
            <w:tcW w:w="2408" w:type="dxa"/>
            <w:shd w:val="clear" w:color="auto" w:fill="D9D9D9"/>
          </w:tcPr>
          <w:p w14:paraId="19DD61BB" w14:textId="77777777" w:rsidR="00312E2E" w:rsidRPr="00C9356C" w:rsidRDefault="00312E2E" w:rsidP="00F12F09">
            <w:pPr>
              <w:pStyle w:val="TAH"/>
              <w:rPr>
                <w:lang w:eastAsia="ko-KR"/>
              </w:rPr>
            </w:pPr>
            <w:r w:rsidRPr="00C9356C">
              <w:rPr>
                <w:lang w:eastAsia="ko-KR"/>
              </w:rPr>
              <w:t>Ant2</w:t>
            </w:r>
          </w:p>
        </w:tc>
        <w:tc>
          <w:tcPr>
            <w:tcW w:w="2408" w:type="dxa"/>
            <w:shd w:val="clear" w:color="auto" w:fill="D9D9D9"/>
          </w:tcPr>
          <w:p w14:paraId="5CFAF2F6" w14:textId="77777777" w:rsidR="00312E2E" w:rsidRPr="00C9356C" w:rsidRDefault="00312E2E" w:rsidP="00F12F09">
            <w:pPr>
              <w:pStyle w:val="TAH"/>
              <w:rPr>
                <w:lang w:eastAsia="ko-KR"/>
              </w:rPr>
            </w:pPr>
            <w:r w:rsidRPr="00C9356C">
              <w:rPr>
                <w:lang w:eastAsia="ko-KR"/>
              </w:rPr>
              <w:t>Ant3</w:t>
            </w:r>
          </w:p>
        </w:tc>
      </w:tr>
      <w:tr w:rsidR="00312E2E" w:rsidRPr="00C9356C" w14:paraId="3B5CE165" w14:textId="77777777" w:rsidTr="00F12F09">
        <w:tc>
          <w:tcPr>
            <w:tcW w:w="2407" w:type="dxa"/>
          </w:tcPr>
          <w:p w14:paraId="337B8359" w14:textId="77777777" w:rsidR="00312E2E" w:rsidRPr="00C9356C" w:rsidRDefault="00312E2E" w:rsidP="00F12F09">
            <w:pPr>
              <w:pStyle w:val="TAH"/>
              <w:rPr>
                <w:lang w:eastAsia="ko-KR"/>
              </w:rPr>
            </w:pPr>
            <w:r w:rsidRPr="00C9356C">
              <w:rPr>
                <w:lang w:eastAsia="ko-KR"/>
              </w:rPr>
              <w:t>Gain (dB)</w:t>
            </w:r>
          </w:p>
        </w:tc>
        <w:tc>
          <w:tcPr>
            <w:tcW w:w="2408" w:type="dxa"/>
          </w:tcPr>
          <w:p w14:paraId="246AAA53" w14:textId="77777777" w:rsidR="00312E2E" w:rsidRPr="00C9356C" w:rsidRDefault="00312E2E" w:rsidP="00F12F09">
            <w:pPr>
              <w:pStyle w:val="TAC"/>
              <w:rPr>
                <w:lang w:eastAsia="ko-KR"/>
              </w:rPr>
            </w:pPr>
            <w:r w:rsidRPr="00C9356C">
              <w:rPr>
                <w:lang w:eastAsia="ko-KR"/>
              </w:rPr>
              <w:t>3.9</w:t>
            </w:r>
          </w:p>
        </w:tc>
        <w:tc>
          <w:tcPr>
            <w:tcW w:w="2408" w:type="dxa"/>
          </w:tcPr>
          <w:p w14:paraId="2B150673" w14:textId="77777777" w:rsidR="00312E2E" w:rsidRPr="00C9356C" w:rsidRDefault="00312E2E" w:rsidP="00F12F09">
            <w:pPr>
              <w:pStyle w:val="TAC"/>
              <w:rPr>
                <w:lang w:eastAsia="ko-KR"/>
              </w:rPr>
            </w:pPr>
            <w:r w:rsidRPr="00C9356C">
              <w:rPr>
                <w:lang w:eastAsia="ko-KR"/>
              </w:rPr>
              <w:t>4.8</w:t>
            </w:r>
          </w:p>
        </w:tc>
        <w:tc>
          <w:tcPr>
            <w:tcW w:w="2408" w:type="dxa"/>
          </w:tcPr>
          <w:p w14:paraId="60A52A84" w14:textId="77777777" w:rsidR="00312E2E" w:rsidRPr="00C9356C" w:rsidRDefault="00312E2E" w:rsidP="00F12F09">
            <w:pPr>
              <w:pStyle w:val="TAC"/>
              <w:rPr>
                <w:lang w:eastAsia="ko-KR"/>
              </w:rPr>
            </w:pPr>
            <w:r w:rsidRPr="00C9356C">
              <w:rPr>
                <w:lang w:eastAsia="ko-KR"/>
              </w:rPr>
              <w:t>2.7</w:t>
            </w:r>
          </w:p>
        </w:tc>
      </w:tr>
      <w:tr w:rsidR="00312E2E" w:rsidRPr="00C9356C" w14:paraId="4A1BF8D3" w14:textId="77777777" w:rsidTr="00F12F09">
        <w:tc>
          <w:tcPr>
            <w:tcW w:w="2407" w:type="dxa"/>
          </w:tcPr>
          <w:p w14:paraId="753FB88E" w14:textId="77777777" w:rsidR="00312E2E" w:rsidRPr="00C9356C" w:rsidRDefault="00312E2E" w:rsidP="00F12F09">
            <w:pPr>
              <w:pStyle w:val="TAH"/>
              <w:rPr>
                <w:lang w:eastAsia="ko-KR"/>
              </w:rPr>
            </w:pPr>
            <w:r w:rsidRPr="00C9356C">
              <w:rPr>
                <w:rFonts w:hint="eastAsia"/>
                <w:lang w:eastAsia="ko-KR"/>
              </w:rPr>
              <w:t>Rad. Efficiency</w:t>
            </w:r>
            <w:r w:rsidRPr="00C9356C">
              <w:rPr>
                <w:lang w:eastAsia="ko-KR"/>
              </w:rPr>
              <w:t xml:space="preserve"> (dB)</w:t>
            </w:r>
          </w:p>
        </w:tc>
        <w:tc>
          <w:tcPr>
            <w:tcW w:w="2408" w:type="dxa"/>
          </w:tcPr>
          <w:p w14:paraId="289809C3" w14:textId="77777777" w:rsidR="00312E2E" w:rsidRPr="00C9356C" w:rsidRDefault="00312E2E" w:rsidP="00F12F09">
            <w:pPr>
              <w:pStyle w:val="TAC"/>
              <w:rPr>
                <w:lang w:eastAsia="ko-KR"/>
              </w:rPr>
            </w:pPr>
            <w:r w:rsidRPr="00C9356C">
              <w:rPr>
                <w:rFonts w:hint="eastAsia"/>
                <w:lang w:eastAsia="ko-KR"/>
              </w:rPr>
              <w:t>-6.3</w:t>
            </w:r>
          </w:p>
        </w:tc>
        <w:tc>
          <w:tcPr>
            <w:tcW w:w="2408" w:type="dxa"/>
          </w:tcPr>
          <w:p w14:paraId="6BBB4026" w14:textId="77777777" w:rsidR="00312E2E" w:rsidRPr="00C9356C" w:rsidRDefault="00312E2E" w:rsidP="00F12F09">
            <w:pPr>
              <w:pStyle w:val="TAC"/>
              <w:rPr>
                <w:lang w:eastAsia="ko-KR"/>
              </w:rPr>
            </w:pPr>
            <w:r w:rsidRPr="00C9356C">
              <w:rPr>
                <w:rFonts w:hint="eastAsia"/>
                <w:lang w:eastAsia="ko-KR"/>
              </w:rPr>
              <w:t>-4.8</w:t>
            </w:r>
          </w:p>
        </w:tc>
        <w:tc>
          <w:tcPr>
            <w:tcW w:w="2408" w:type="dxa"/>
          </w:tcPr>
          <w:p w14:paraId="0998E87F" w14:textId="77777777" w:rsidR="00312E2E" w:rsidRPr="00C9356C" w:rsidRDefault="00312E2E" w:rsidP="00F12F09">
            <w:pPr>
              <w:pStyle w:val="TAC"/>
              <w:rPr>
                <w:lang w:eastAsia="ko-KR"/>
              </w:rPr>
            </w:pPr>
            <w:r w:rsidRPr="00C9356C">
              <w:rPr>
                <w:rFonts w:hint="eastAsia"/>
                <w:lang w:eastAsia="ko-KR"/>
              </w:rPr>
              <w:t>-6.3</w:t>
            </w:r>
          </w:p>
        </w:tc>
      </w:tr>
      <w:tr w:rsidR="00312E2E" w:rsidRPr="00C9356C" w14:paraId="2422F6D4" w14:textId="77777777" w:rsidTr="00F12F09">
        <w:tc>
          <w:tcPr>
            <w:tcW w:w="2407" w:type="dxa"/>
          </w:tcPr>
          <w:p w14:paraId="2E258255" w14:textId="77777777" w:rsidR="00312E2E" w:rsidRPr="00C9356C" w:rsidRDefault="00312E2E" w:rsidP="00F12F09">
            <w:pPr>
              <w:pStyle w:val="TAH"/>
              <w:rPr>
                <w:lang w:eastAsia="ko-KR"/>
              </w:rPr>
            </w:pPr>
            <w:r w:rsidRPr="00C9356C">
              <w:rPr>
                <w:rFonts w:hint="eastAsia"/>
                <w:lang w:eastAsia="ko-KR"/>
              </w:rPr>
              <w:t>Directivity</w:t>
            </w:r>
            <w:r w:rsidRPr="00C9356C">
              <w:rPr>
                <w:lang w:eastAsia="ko-KR"/>
              </w:rPr>
              <w:t xml:space="preserve"> (dB)</w:t>
            </w:r>
          </w:p>
        </w:tc>
        <w:tc>
          <w:tcPr>
            <w:tcW w:w="2408" w:type="dxa"/>
          </w:tcPr>
          <w:p w14:paraId="7005BBE3" w14:textId="77777777" w:rsidR="00312E2E" w:rsidRPr="00C9356C" w:rsidRDefault="00312E2E" w:rsidP="00F12F09">
            <w:pPr>
              <w:pStyle w:val="TAC"/>
              <w:rPr>
                <w:lang w:eastAsia="ko-KR"/>
              </w:rPr>
            </w:pPr>
            <w:r w:rsidRPr="00C9356C">
              <w:rPr>
                <w:rFonts w:hint="eastAsia"/>
                <w:lang w:eastAsia="ko-KR"/>
              </w:rPr>
              <w:t>10.2</w:t>
            </w:r>
          </w:p>
        </w:tc>
        <w:tc>
          <w:tcPr>
            <w:tcW w:w="2408" w:type="dxa"/>
          </w:tcPr>
          <w:p w14:paraId="2705D878" w14:textId="77777777" w:rsidR="00312E2E" w:rsidRPr="00C9356C" w:rsidRDefault="00312E2E" w:rsidP="00F12F09">
            <w:pPr>
              <w:pStyle w:val="TAC"/>
              <w:rPr>
                <w:lang w:eastAsia="ko-KR"/>
              </w:rPr>
            </w:pPr>
            <w:r w:rsidRPr="00C9356C">
              <w:rPr>
                <w:rFonts w:hint="eastAsia"/>
                <w:lang w:eastAsia="ko-KR"/>
              </w:rPr>
              <w:t>9.6</w:t>
            </w:r>
          </w:p>
        </w:tc>
        <w:tc>
          <w:tcPr>
            <w:tcW w:w="2408" w:type="dxa"/>
          </w:tcPr>
          <w:p w14:paraId="264E47BD" w14:textId="77777777" w:rsidR="00312E2E" w:rsidRPr="00C9356C" w:rsidRDefault="00312E2E" w:rsidP="00F12F09">
            <w:pPr>
              <w:pStyle w:val="TAC"/>
              <w:rPr>
                <w:lang w:eastAsia="ko-KR"/>
              </w:rPr>
            </w:pPr>
            <w:r w:rsidRPr="00C9356C">
              <w:rPr>
                <w:rFonts w:hint="eastAsia"/>
                <w:lang w:eastAsia="ko-KR"/>
              </w:rPr>
              <w:t>9.0</w:t>
            </w:r>
          </w:p>
        </w:tc>
      </w:tr>
      <w:tr w:rsidR="00312E2E" w:rsidRPr="00C9356C" w14:paraId="2CE4BC59" w14:textId="77777777" w:rsidTr="00F12F09">
        <w:tc>
          <w:tcPr>
            <w:tcW w:w="2407" w:type="dxa"/>
            <w:shd w:val="clear" w:color="auto" w:fill="D9D9D9"/>
          </w:tcPr>
          <w:p w14:paraId="6C63DC55" w14:textId="77777777" w:rsidR="00312E2E" w:rsidRPr="00C9356C" w:rsidRDefault="00312E2E" w:rsidP="00F12F09">
            <w:pPr>
              <w:pStyle w:val="TAH"/>
              <w:rPr>
                <w:lang w:eastAsia="ko-KR"/>
              </w:rPr>
            </w:pPr>
          </w:p>
        </w:tc>
        <w:tc>
          <w:tcPr>
            <w:tcW w:w="2408" w:type="dxa"/>
            <w:shd w:val="clear" w:color="auto" w:fill="D9D9D9"/>
          </w:tcPr>
          <w:p w14:paraId="4E08A75B" w14:textId="77777777" w:rsidR="00312E2E" w:rsidRPr="00C9356C" w:rsidRDefault="00312E2E" w:rsidP="00F12F09">
            <w:pPr>
              <w:pStyle w:val="TAC"/>
              <w:rPr>
                <w:lang w:eastAsia="ko-KR"/>
              </w:rPr>
            </w:pPr>
            <w:r w:rsidRPr="00C9356C">
              <w:rPr>
                <w:lang w:eastAsia="ko-KR"/>
              </w:rPr>
              <w:t>Ant1 + Ant2</w:t>
            </w:r>
          </w:p>
        </w:tc>
        <w:tc>
          <w:tcPr>
            <w:tcW w:w="2408" w:type="dxa"/>
            <w:shd w:val="clear" w:color="auto" w:fill="D9D9D9"/>
          </w:tcPr>
          <w:p w14:paraId="3D093F47" w14:textId="77777777" w:rsidR="00312E2E" w:rsidRPr="00C9356C" w:rsidRDefault="00312E2E" w:rsidP="00F12F09">
            <w:pPr>
              <w:pStyle w:val="TAC"/>
              <w:rPr>
                <w:lang w:eastAsia="ko-KR"/>
              </w:rPr>
            </w:pPr>
            <w:r w:rsidRPr="00C9356C">
              <w:rPr>
                <w:lang w:eastAsia="ko-KR"/>
              </w:rPr>
              <w:t>Ant1 + Ant 3</w:t>
            </w:r>
          </w:p>
        </w:tc>
        <w:tc>
          <w:tcPr>
            <w:tcW w:w="2408" w:type="dxa"/>
            <w:shd w:val="clear" w:color="auto" w:fill="D9D9D9"/>
          </w:tcPr>
          <w:p w14:paraId="26CD4BE1" w14:textId="77777777" w:rsidR="00312E2E" w:rsidRPr="00C9356C" w:rsidRDefault="00312E2E" w:rsidP="00F12F09">
            <w:pPr>
              <w:pStyle w:val="TAC"/>
              <w:rPr>
                <w:lang w:eastAsia="ko-KR"/>
              </w:rPr>
            </w:pPr>
            <w:r w:rsidRPr="00C9356C">
              <w:rPr>
                <w:lang w:eastAsia="ko-KR"/>
              </w:rPr>
              <w:t>Ant2 + Ant3</w:t>
            </w:r>
          </w:p>
        </w:tc>
      </w:tr>
      <w:tr w:rsidR="00312E2E" w:rsidRPr="00C9356C" w14:paraId="731B2D47" w14:textId="77777777" w:rsidTr="00F12F09">
        <w:tc>
          <w:tcPr>
            <w:tcW w:w="2407" w:type="dxa"/>
          </w:tcPr>
          <w:p w14:paraId="5E1A725B" w14:textId="77777777" w:rsidR="00312E2E" w:rsidRPr="00C9356C" w:rsidRDefault="00312E2E" w:rsidP="00F12F09">
            <w:pPr>
              <w:pStyle w:val="TAH"/>
              <w:rPr>
                <w:lang w:eastAsia="ko-KR"/>
              </w:rPr>
            </w:pPr>
            <w:r w:rsidRPr="00C9356C">
              <w:rPr>
                <w:lang w:eastAsia="ko-KR"/>
              </w:rPr>
              <w:t>Combined gain (dB)</w:t>
            </w:r>
          </w:p>
        </w:tc>
        <w:tc>
          <w:tcPr>
            <w:tcW w:w="2408" w:type="dxa"/>
          </w:tcPr>
          <w:p w14:paraId="37A1E699" w14:textId="77777777" w:rsidR="00312E2E" w:rsidRPr="00C9356C" w:rsidRDefault="00312E2E" w:rsidP="00F12F09">
            <w:pPr>
              <w:pStyle w:val="TAC"/>
              <w:rPr>
                <w:lang w:eastAsia="ko-KR"/>
              </w:rPr>
            </w:pPr>
            <w:r w:rsidRPr="00C9356C">
              <w:rPr>
                <w:lang w:eastAsia="ko-KR"/>
              </w:rPr>
              <w:t>3.8</w:t>
            </w:r>
          </w:p>
        </w:tc>
        <w:tc>
          <w:tcPr>
            <w:tcW w:w="2408" w:type="dxa"/>
          </w:tcPr>
          <w:p w14:paraId="591857BE" w14:textId="77777777" w:rsidR="00312E2E" w:rsidRPr="00C9356C" w:rsidRDefault="00312E2E" w:rsidP="00F12F09">
            <w:pPr>
              <w:pStyle w:val="TAC"/>
              <w:rPr>
                <w:lang w:eastAsia="ko-KR"/>
              </w:rPr>
            </w:pPr>
            <w:r w:rsidRPr="00C9356C">
              <w:rPr>
                <w:lang w:eastAsia="ko-KR"/>
              </w:rPr>
              <w:t>2.6</w:t>
            </w:r>
          </w:p>
        </w:tc>
        <w:tc>
          <w:tcPr>
            <w:tcW w:w="2408" w:type="dxa"/>
          </w:tcPr>
          <w:p w14:paraId="15EAFDE6" w14:textId="77777777" w:rsidR="00312E2E" w:rsidRPr="00C9356C" w:rsidRDefault="00312E2E" w:rsidP="00F12F09">
            <w:pPr>
              <w:pStyle w:val="TAC"/>
              <w:rPr>
                <w:lang w:eastAsia="ko-KR"/>
              </w:rPr>
            </w:pPr>
            <w:r w:rsidRPr="00C9356C">
              <w:rPr>
                <w:lang w:eastAsia="ko-KR"/>
              </w:rPr>
              <w:t>3.9</w:t>
            </w:r>
          </w:p>
        </w:tc>
      </w:tr>
      <w:tr w:rsidR="00312E2E" w:rsidRPr="00C9356C" w14:paraId="35C70DEC" w14:textId="77777777" w:rsidTr="00F12F09">
        <w:tc>
          <w:tcPr>
            <w:tcW w:w="2407" w:type="dxa"/>
          </w:tcPr>
          <w:p w14:paraId="74A4FCFE" w14:textId="77777777" w:rsidR="00312E2E" w:rsidRPr="00C9356C" w:rsidRDefault="00312E2E" w:rsidP="00F12F09">
            <w:pPr>
              <w:pStyle w:val="TAH"/>
              <w:rPr>
                <w:lang w:eastAsia="ko-KR"/>
              </w:rPr>
            </w:pPr>
            <w:r w:rsidRPr="00C9356C">
              <w:rPr>
                <w:lang w:eastAsia="ko-KR"/>
              </w:rPr>
              <w:t>Gain drop (dB)</w:t>
            </w:r>
          </w:p>
        </w:tc>
        <w:tc>
          <w:tcPr>
            <w:tcW w:w="2408" w:type="dxa"/>
          </w:tcPr>
          <w:p w14:paraId="788A9461" w14:textId="77777777" w:rsidR="00312E2E" w:rsidRPr="00C9356C" w:rsidRDefault="00312E2E" w:rsidP="00F12F09">
            <w:pPr>
              <w:pStyle w:val="TAC"/>
              <w:rPr>
                <w:lang w:eastAsia="ko-KR"/>
              </w:rPr>
            </w:pPr>
            <w:r w:rsidRPr="00C9356C">
              <w:rPr>
                <w:lang w:eastAsia="ko-KR"/>
              </w:rPr>
              <w:t>-1.0</w:t>
            </w:r>
          </w:p>
        </w:tc>
        <w:tc>
          <w:tcPr>
            <w:tcW w:w="2408" w:type="dxa"/>
          </w:tcPr>
          <w:p w14:paraId="776B5408" w14:textId="77777777" w:rsidR="00312E2E" w:rsidRPr="00C9356C" w:rsidRDefault="00312E2E" w:rsidP="00F12F09">
            <w:pPr>
              <w:pStyle w:val="TAC"/>
              <w:rPr>
                <w:lang w:eastAsia="ko-KR"/>
              </w:rPr>
            </w:pPr>
            <w:r w:rsidRPr="00C9356C">
              <w:rPr>
                <w:lang w:eastAsia="ko-KR"/>
              </w:rPr>
              <w:t>-1.3</w:t>
            </w:r>
          </w:p>
        </w:tc>
        <w:tc>
          <w:tcPr>
            <w:tcW w:w="2408" w:type="dxa"/>
          </w:tcPr>
          <w:p w14:paraId="6B83AE6A" w14:textId="77777777" w:rsidR="00312E2E" w:rsidRPr="00C9356C" w:rsidRDefault="00312E2E" w:rsidP="00F12F09">
            <w:pPr>
              <w:pStyle w:val="TAC"/>
              <w:rPr>
                <w:lang w:eastAsia="ko-KR"/>
              </w:rPr>
            </w:pPr>
            <w:r w:rsidRPr="00C9356C">
              <w:rPr>
                <w:lang w:eastAsia="ko-KR"/>
              </w:rPr>
              <w:t>-0.9</w:t>
            </w:r>
          </w:p>
        </w:tc>
      </w:tr>
    </w:tbl>
    <w:p w14:paraId="306DE27D" w14:textId="77777777" w:rsidR="00312E2E" w:rsidRDefault="00312E2E" w:rsidP="00312E2E">
      <w:pPr>
        <w:spacing w:line="259" w:lineRule="auto"/>
        <w:jc w:val="both"/>
        <w:rPr>
          <w:rFonts w:eastAsia="Malgun Gothic"/>
          <w:lang w:eastAsia="ko-KR"/>
        </w:rPr>
      </w:pPr>
    </w:p>
    <w:p w14:paraId="0296A164" w14:textId="77777777" w:rsidR="00312E2E" w:rsidRPr="00C9356C" w:rsidRDefault="00312E2E" w:rsidP="00312E2E">
      <w:pPr>
        <w:spacing w:line="259" w:lineRule="auto"/>
        <w:jc w:val="both"/>
        <w:rPr>
          <w:rFonts w:eastAsia="SimSun"/>
        </w:rPr>
      </w:pPr>
      <w:r w:rsidRPr="00C9356C">
        <w:rPr>
          <w:rFonts w:eastAsia="Malgun Gothic"/>
          <w:lang w:eastAsia="ko-KR"/>
        </w:rPr>
        <w:t>A</w:t>
      </w:r>
      <w:r w:rsidRPr="00C9356C">
        <w:rPr>
          <w:rFonts w:eastAsia="Malgun Gothic" w:hint="eastAsia"/>
          <w:lang w:eastAsia="ko-KR"/>
        </w:rPr>
        <w:t xml:space="preserve">s seen from </w:t>
      </w:r>
      <w:r w:rsidRPr="00DF3763">
        <w:rPr>
          <w:rFonts w:eastAsia="Malgun Gothic"/>
          <w:lang w:eastAsia="ko-KR"/>
        </w:rPr>
        <w:t>Figure 6.5.2.</w:t>
      </w:r>
      <w:r>
        <w:rPr>
          <w:rFonts w:eastAsia="Malgun Gothic"/>
          <w:lang w:eastAsia="ko-KR"/>
        </w:rPr>
        <w:t>3</w:t>
      </w:r>
      <w:r w:rsidRPr="00DF3763">
        <w:rPr>
          <w:rFonts w:eastAsia="Malgun Gothic"/>
          <w:lang w:eastAsia="ko-KR"/>
        </w:rPr>
        <w:t>-2 and Table 6.5.2.</w:t>
      </w:r>
      <w:r>
        <w:rPr>
          <w:rFonts w:eastAsia="Malgun Gothic"/>
          <w:lang w:eastAsia="ko-KR"/>
        </w:rPr>
        <w:t>3</w:t>
      </w:r>
      <w:r w:rsidRPr="00DF3763">
        <w:rPr>
          <w:rFonts w:eastAsia="Malgun Gothic"/>
          <w:lang w:eastAsia="ko-KR"/>
        </w:rPr>
        <w:t>-1</w:t>
      </w:r>
      <w:r w:rsidRPr="00C9356C">
        <w:rPr>
          <w:rFonts w:eastAsia="Malgun Gothic" w:hint="eastAsia"/>
          <w:lang w:eastAsia="ko-KR"/>
        </w:rPr>
        <w:t xml:space="preserve">, in terms of the peak antenna gain with metal frame antennas, it is shown that </w:t>
      </w:r>
      <w:r>
        <w:rPr>
          <w:rFonts w:eastAsia="Malgun Gothic"/>
          <w:lang w:eastAsia="ko-KR"/>
        </w:rPr>
        <w:t xml:space="preserve">for the considered example, </w:t>
      </w:r>
      <w:r w:rsidRPr="00C9356C">
        <w:rPr>
          <w:rFonts w:eastAsia="Malgun Gothic" w:hint="eastAsia"/>
          <w:lang w:eastAsia="ko-KR"/>
        </w:rPr>
        <w:t xml:space="preserve">the single-Tx antenna gain can reach up to 4.8 dB with its directivity and </w:t>
      </w:r>
      <w:r w:rsidRPr="00C9356C">
        <w:rPr>
          <w:rFonts w:eastAsia="Malgun Gothic"/>
          <w:lang w:eastAsia="ko-KR"/>
        </w:rPr>
        <w:t>efficiency</w:t>
      </w:r>
      <w:r w:rsidRPr="00C9356C">
        <w:rPr>
          <w:rFonts w:eastAsia="Malgun Gothic" w:hint="eastAsia"/>
          <w:lang w:eastAsia="ko-KR"/>
        </w:rPr>
        <w:t xml:space="preserve"> </w:t>
      </w:r>
      <w:r w:rsidRPr="00C9356C">
        <w:rPr>
          <w:rFonts w:eastAsia="Malgun Gothic"/>
          <w:lang w:eastAsia="ko-KR"/>
        </w:rPr>
        <w:t>characteristics</w:t>
      </w:r>
      <w:r w:rsidRPr="00C9356C">
        <w:rPr>
          <w:rFonts w:eastAsia="Malgun Gothic" w:hint="eastAsia"/>
          <w:lang w:eastAsia="ko-KR"/>
        </w:rPr>
        <w:t xml:space="preserve"> at the frequency range around 15 GHz. However, for the case of two-Tx, it is shown that the </w:t>
      </w:r>
      <w:r w:rsidRPr="00C9356C">
        <w:rPr>
          <w:rFonts w:eastAsia="SimSun"/>
        </w:rPr>
        <w:t xml:space="preserve">peak gain of combined two Tx antennas does not show better </w:t>
      </w:r>
      <w:proofErr w:type="gramStart"/>
      <w:r w:rsidRPr="00C9356C">
        <w:rPr>
          <w:rFonts w:eastAsia="SimSun"/>
        </w:rPr>
        <w:t>performance, but</w:t>
      </w:r>
      <w:proofErr w:type="gramEnd"/>
      <w:r w:rsidRPr="00C9356C">
        <w:rPr>
          <w:rFonts w:eastAsia="SimSun"/>
        </w:rPr>
        <w:t xml:space="preserve"> rather drops compared to the single</w:t>
      </w:r>
      <w:r w:rsidRPr="00C9356C">
        <w:rPr>
          <w:rFonts w:eastAsia="Malgun Gothic" w:hint="eastAsia"/>
          <w:lang w:eastAsia="ko-KR"/>
        </w:rPr>
        <w:t>-Tx</w:t>
      </w:r>
      <w:r w:rsidRPr="00C9356C">
        <w:rPr>
          <w:rFonts w:eastAsia="SimSun"/>
        </w:rPr>
        <w:t xml:space="preserve"> case</w:t>
      </w:r>
      <w:r w:rsidRPr="00C9356C">
        <w:rPr>
          <w:rFonts w:eastAsia="Malgun Gothic" w:hint="eastAsia"/>
          <w:lang w:eastAsia="ko-KR"/>
        </w:rPr>
        <w:t xml:space="preserve"> for the antenna placement in Figure </w:t>
      </w:r>
      <w:r w:rsidRPr="00DF3763">
        <w:rPr>
          <w:rFonts w:eastAsia="Malgun Gothic"/>
          <w:lang w:eastAsia="ko-KR"/>
        </w:rPr>
        <w:t>6.5.2.</w:t>
      </w:r>
      <w:r>
        <w:rPr>
          <w:rFonts w:eastAsia="Malgun Gothic"/>
          <w:lang w:eastAsia="ko-KR"/>
        </w:rPr>
        <w:t>3</w:t>
      </w:r>
      <w:r w:rsidRPr="00DF3763">
        <w:rPr>
          <w:rFonts w:eastAsia="Malgun Gothic"/>
          <w:lang w:eastAsia="ko-KR"/>
        </w:rPr>
        <w:t>-</w:t>
      </w:r>
      <w:r>
        <w:rPr>
          <w:rFonts w:eastAsia="Malgun Gothic"/>
          <w:lang w:eastAsia="ko-KR"/>
        </w:rPr>
        <w:t>1</w:t>
      </w:r>
      <w:r w:rsidRPr="00C9356C">
        <w:rPr>
          <w:rFonts w:eastAsia="SimSun"/>
        </w:rPr>
        <w:t>.</w:t>
      </w:r>
      <w:r w:rsidRPr="00C9356C">
        <w:rPr>
          <w:rFonts w:eastAsia="Malgun Gothic" w:hint="eastAsia"/>
          <w:lang w:eastAsia="ko-KR"/>
        </w:rPr>
        <w:t xml:space="preserve"> </w:t>
      </w:r>
      <w:r w:rsidRPr="00C9356C">
        <w:rPr>
          <w:rFonts w:eastAsia="SimSun"/>
        </w:rPr>
        <w:t xml:space="preserve">This would be coming from two different radiation patterns as depicted in Figure </w:t>
      </w:r>
      <w:r w:rsidRPr="00DF3763">
        <w:rPr>
          <w:rFonts w:eastAsia="SimSun"/>
        </w:rPr>
        <w:t>6.5.2.</w:t>
      </w:r>
      <w:r>
        <w:rPr>
          <w:rFonts w:eastAsia="SimSun"/>
        </w:rPr>
        <w:t>3</w:t>
      </w:r>
      <w:r w:rsidRPr="00DF3763">
        <w:rPr>
          <w:rFonts w:eastAsia="SimSun"/>
        </w:rPr>
        <w:t>-</w:t>
      </w:r>
      <w:r>
        <w:rPr>
          <w:rFonts w:eastAsia="SimSun"/>
        </w:rPr>
        <w:t>3</w:t>
      </w:r>
      <w:r w:rsidRPr="00C9356C">
        <w:rPr>
          <w:rFonts w:eastAsia="SimSun"/>
        </w:rPr>
        <w:t xml:space="preserve">. </w:t>
      </w:r>
    </w:p>
    <w:p w14:paraId="67BA33D8" w14:textId="77777777" w:rsidR="00312E2E" w:rsidRPr="00C9356C" w:rsidRDefault="00312E2E" w:rsidP="00312E2E">
      <w:pPr>
        <w:spacing w:line="259" w:lineRule="auto"/>
        <w:jc w:val="both"/>
        <w:rPr>
          <w:rFonts w:eastAsia="SimSun"/>
        </w:rPr>
      </w:pPr>
    </w:p>
    <w:p w14:paraId="6D63E05A" w14:textId="77777777" w:rsidR="00312E2E" w:rsidRPr="00C9356C" w:rsidRDefault="00312E2E" w:rsidP="00312E2E">
      <w:pPr>
        <w:pStyle w:val="TH"/>
        <w:rPr>
          <w:rFonts w:eastAsia="SimSun"/>
        </w:rPr>
      </w:pPr>
      <w:r w:rsidRPr="00C9356C">
        <w:rPr>
          <w:rFonts w:eastAsia="Malgun Gothic"/>
          <w:noProof/>
          <w:lang w:eastAsia="ko-KR"/>
        </w:rPr>
        <w:drawing>
          <wp:inline distT="0" distB="0" distL="0" distR="0" wp14:anchorId="7BE99A77" wp14:editId="79DC1B13">
            <wp:extent cx="6120000" cy="3478457"/>
            <wp:effectExtent l="0" t="0" r="0" b="8255"/>
            <wp:docPr id="1489593959" name="그림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593959" name="그림 3" descr="A screenshot of a computer&#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000" cy="3478457"/>
                    </a:xfrm>
                    <a:prstGeom prst="rect">
                      <a:avLst/>
                    </a:prstGeom>
                    <a:noFill/>
                  </pic:spPr>
                </pic:pic>
              </a:graphicData>
            </a:graphic>
          </wp:inline>
        </w:drawing>
      </w:r>
    </w:p>
    <w:p w14:paraId="2BA2C958" w14:textId="77777777" w:rsidR="00312E2E" w:rsidRPr="00C9356C" w:rsidRDefault="00312E2E" w:rsidP="00312E2E">
      <w:pPr>
        <w:pStyle w:val="TF"/>
        <w:rPr>
          <w:lang w:eastAsia="ko-KR"/>
        </w:rPr>
      </w:pPr>
      <w:r w:rsidRPr="00C9356C">
        <w:rPr>
          <w:rFonts w:hint="eastAsia"/>
          <w:lang w:eastAsia="ko-KR"/>
        </w:rPr>
        <w:t>F</w:t>
      </w:r>
      <w:r w:rsidRPr="00C9356C">
        <w:rPr>
          <w:lang w:eastAsia="ko-KR"/>
        </w:rPr>
        <w:t>igure</w:t>
      </w:r>
      <w:r>
        <w:rPr>
          <w:lang w:eastAsia="ko-KR"/>
        </w:rPr>
        <w:t xml:space="preserve"> </w:t>
      </w:r>
      <w:r w:rsidRPr="00DF3763">
        <w:rPr>
          <w:lang w:eastAsia="ko-KR"/>
        </w:rPr>
        <w:t>6.5.2.</w:t>
      </w:r>
      <w:r>
        <w:rPr>
          <w:lang w:eastAsia="ko-KR"/>
        </w:rPr>
        <w:t>3</w:t>
      </w:r>
      <w:r w:rsidRPr="00DF3763">
        <w:rPr>
          <w:lang w:eastAsia="ko-KR"/>
        </w:rPr>
        <w:t>-</w:t>
      </w:r>
      <w:r>
        <w:rPr>
          <w:lang w:eastAsia="ko-KR"/>
        </w:rPr>
        <w:t>3</w:t>
      </w:r>
      <w:r w:rsidRPr="00C9356C">
        <w:rPr>
          <w:lang w:eastAsia="ko-KR"/>
        </w:rPr>
        <w:t>: Simulated radiation patterns for one-Tx and two-Tx cases</w:t>
      </w:r>
    </w:p>
    <w:p w14:paraId="1F12F722" w14:textId="77777777" w:rsidR="00312E2E" w:rsidRPr="00E232E2" w:rsidRDefault="00312E2E" w:rsidP="00312E2E">
      <w:pPr>
        <w:spacing w:line="259" w:lineRule="auto"/>
        <w:jc w:val="both"/>
        <w:rPr>
          <w:rFonts w:eastAsia="SimSun"/>
        </w:rPr>
      </w:pPr>
      <w:r w:rsidRPr="00C9356C">
        <w:rPr>
          <w:rFonts w:eastAsia="Malgun Gothic" w:hint="eastAsia"/>
          <w:lang w:eastAsia="ko-KR"/>
        </w:rPr>
        <w:lastRenderedPageBreak/>
        <w:t>The radiation pattern</w:t>
      </w:r>
      <w:r w:rsidRPr="00C9356C">
        <w:rPr>
          <w:rFonts w:eastAsia="Malgun Gothic"/>
          <w:lang w:eastAsia="ko-KR"/>
        </w:rPr>
        <w:t xml:space="preserve"> of antenna</w:t>
      </w:r>
      <w:r w:rsidRPr="00C9356C">
        <w:rPr>
          <w:rFonts w:eastAsia="Malgun Gothic" w:hint="eastAsia"/>
          <w:lang w:eastAsia="ko-KR"/>
        </w:rPr>
        <w:t>s</w:t>
      </w:r>
      <w:r w:rsidRPr="00C9356C">
        <w:rPr>
          <w:rFonts w:eastAsia="Malgun Gothic"/>
          <w:lang w:eastAsia="ko-KR"/>
        </w:rPr>
        <w:t xml:space="preserve"> in a practical device</w:t>
      </w:r>
      <w:r w:rsidRPr="00C9356C">
        <w:rPr>
          <w:rFonts w:eastAsia="Malgun Gothic" w:hint="eastAsia"/>
          <w:lang w:eastAsia="ko-KR"/>
        </w:rPr>
        <w:t xml:space="preserve"> has different peak direction </w:t>
      </w:r>
      <w:r w:rsidRPr="00C9356C">
        <w:rPr>
          <w:rFonts w:eastAsia="Malgun Gothic"/>
          <w:lang w:eastAsia="ko-KR"/>
        </w:rPr>
        <w:t>compared with</w:t>
      </w:r>
      <w:r w:rsidRPr="00C9356C">
        <w:rPr>
          <w:rFonts w:eastAsia="Malgun Gothic" w:hint="eastAsia"/>
          <w:lang w:eastAsia="ko-KR"/>
        </w:rPr>
        <w:t xml:space="preserve"> the boresight direction since the UE ground has much </w:t>
      </w:r>
      <w:r w:rsidRPr="00C9356C">
        <w:rPr>
          <w:rFonts w:eastAsia="Malgun Gothic"/>
          <w:lang w:eastAsia="ko-KR"/>
        </w:rPr>
        <w:t xml:space="preserve">longer </w:t>
      </w:r>
      <w:r w:rsidRPr="00C9356C">
        <w:rPr>
          <w:rFonts w:eastAsia="Malgun Gothic" w:hint="eastAsia"/>
          <w:lang w:eastAsia="ko-KR"/>
        </w:rPr>
        <w:t xml:space="preserve">electric strength at this frequency range as shown in Figure </w:t>
      </w:r>
      <w:r w:rsidRPr="00636743">
        <w:rPr>
          <w:rFonts w:eastAsia="Malgun Gothic"/>
          <w:lang w:eastAsia="ko-KR"/>
        </w:rPr>
        <w:t>6.5.2.</w:t>
      </w:r>
      <w:r>
        <w:rPr>
          <w:rFonts w:eastAsia="Malgun Gothic"/>
          <w:lang w:eastAsia="ko-KR"/>
        </w:rPr>
        <w:t>3</w:t>
      </w:r>
      <w:r w:rsidRPr="00636743">
        <w:rPr>
          <w:rFonts w:eastAsia="Malgun Gothic"/>
          <w:lang w:eastAsia="ko-KR"/>
        </w:rPr>
        <w:t>-3</w:t>
      </w:r>
      <w:r w:rsidRPr="00C9356C">
        <w:rPr>
          <w:rFonts w:eastAsia="Malgun Gothic" w:hint="eastAsia"/>
          <w:lang w:eastAsia="ko-KR"/>
        </w:rPr>
        <w:t xml:space="preserve">. </w:t>
      </w:r>
      <w:r w:rsidRPr="00C9356C">
        <w:rPr>
          <w:rFonts w:eastAsia="Malgun Gothic"/>
          <w:lang w:eastAsia="ko-KR"/>
        </w:rPr>
        <w:t>F</w:t>
      </w:r>
      <w:r w:rsidRPr="00C9356C">
        <w:rPr>
          <w:rFonts w:eastAsia="Malgun Gothic" w:hint="eastAsia"/>
          <w:lang w:eastAsia="ko-KR"/>
        </w:rPr>
        <w:t xml:space="preserve">or example, Ant2 would form its peak direction toward Ant3, and </w:t>
      </w:r>
      <w:r w:rsidRPr="00C9356C">
        <w:rPr>
          <w:rFonts w:eastAsia="Malgun Gothic"/>
          <w:lang w:eastAsia="ko-KR"/>
        </w:rPr>
        <w:t>similarly</w:t>
      </w:r>
      <w:r w:rsidRPr="00C9356C">
        <w:rPr>
          <w:rFonts w:eastAsia="Malgun Gothic" w:hint="eastAsia"/>
          <w:lang w:eastAsia="ko-KR"/>
        </w:rPr>
        <w:t xml:space="preserve">, Ant1 has the peak gain at the opposite direction toward the bottom side of UE at this case. </w:t>
      </w:r>
      <w:r w:rsidRPr="00C9356C">
        <w:rPr>
          <w:rFonts w:eastAsia="Malgun Gothic"/>
          <w:lang w:eastAsia="ko-KR"/>
        </w:rPr>
        <w:t>O</w:t>
      </w:r>
      <w:r w:rsidRPr="00C9356C">
        <w:rPr>
          <w:rFonts w:eastAsia="Malgun Gothic" w:hint="eastAsia"/>
          <w:lang w:eastAsia="ko-KR"/>
        </w:rPr>
        <w:t xml:space="preserve">n the other hand, if two Tx antennas are adjacent with the same </w:t>
      </w:r>
      <w:r w:rsidRPr="00C9356C">
        <w:rPr>
          <w:rFonts w:eastAsia="Malgun Gothic"/>
          <w:lang w:eastAsia="ko-KR"/>
        </w:rPr>
        <w:t>orientation</w:t>
      </w:r>
      <w:r w:rsidRPr="00C9356C">
        <w:rPr>
          <w:rFonts w:eastAsia="Malgun Gothic" w:hint="eastAsia"/>
          <w:lang w:eastAsia="ko-KR"/>
        </w:rPr>
        <w:t xml:space="preserve">, it may have increased peak antenna gain thanks to the same radiation pattern between two Tx antennas although it would face a different issue such as antenna isolation to keep the </w:t>
      </w:r>
      <w:r w:rsidRPr="00C9356C">
        <w:rPr>
          <w:rFonts w:eastAsia="Malgun Gothic"/>
          <w:lang w:eastAsia="ko-KR"/>
        </w:rPr>
        <w:t>fundamental</w:t>
      </w:r>
      <w:r w:rsidRPr="00C9356C">
        <w:rPr>
          <w:rFonts w:eastAsia="Malgun Gothic" w:hint="eastAsia"/>
          <w:lang w:eastAsia="ko-KR"/>
        </w:rPr>
        <w:t xml:space="preserve"> performance.</w:t>
      </w:r>
    </w:p>
    <w:p w14:paraId="359F95BD" w14:textId="77777777" w:rsidR="00312E2E" w:rsidRPr="00C9356C" w:rsidRDefault="00312E2E" w:rsidP="00312E2E">
      <w:pPr>
        <w:spacing w:line="259" w:lineRule="auto"/>
        <w:jc w:val="both"/>
        <w:rPr>
          <w:rFonts w:eastAsia="Malgun Gothic"/>
          <w:lang w:eastAsia="ko-KR"/>
        </w:rPr>
      </w:pPr>
      <w:r w:rsidRPr="00C9356C">
        <w:rPr>
          <w:rFonts w:eastAsia="Malgun Gothic"/>
          <w:lang w:eastAsia="ko-KR"/>
        </w:rPr>
        <w:t>I</w:t>
      </w:r>
      <w:r w:rsidRPr="00C9356C">
        <w:rPr>
          <w:rFonts w:eastAsia="Malgun Gothic" w:hint="eastAsia"/>
          <w:lang w:eastAsia="ko-KR"/>
        </w:rPr>
        <w:t xml:space="preserve">n this regard, for FR1-like design with metal frame antennas, </w:t>
      </w:r>
      <w:proofErr w:type="gramStart"/>
      <w:r w:rsidRPr="00C9356C">
        <w:rPr>
          <w:rFonts w:eastAsia="Malgun Gothic"/>
          <w:lang w:eastAsia="ko-KR"/>
        </w:rPr>
        <w:t>similar</w:t>
      </w:r>
      <w:r w:rsidRPr="00C9356C">
        <w:rPr>
          <w:rFonts w:eastAsia="Malgun Gothic" w:hint="eastAsia"/>
          <w:lang w:eastAsia="ko-KR"/>
        </w:rPr>
        <w:t xml:space="preserve"> to</w:t>
      </w:r>
      <w:proofErr w:type="gramEnd"/>
      <w:r w:rsidRPr="00C9356C">
        <w:rPr>
          <w:rFonts w:eastAsia="Malgun Gothic" w:hint="eastAsia"/>
          <w:lang w:eastAsia="ko-KR"/>
        </w:rPr>
        <w:t xml:space="preserve"> the </w:t>
      </w:r>
      <w:r>
        <w:rPr>
          <w:rFonts w:eastAsia="Malgun Gothic"/>
          <w:lang w:eastAsia="ko-KR"/>
        </w:rPr>
        <w:t xml:space="preserve">design approach with </w:t>
      </w:r>
      <w:r w:rsidRPr="00C9356C">
        <w:rPr>
          <w:rFonts w:eastAsia="Malgun Gothic" w:hint="eastAsia"/>
          <w:lang w:eastAsia="ko-KR"/>
        </w:rPr>
        <w:t xml:space="preserve">FR1-like patch antenna case, it should be noted that multi-Tx antennas may not help improving peak gain </w:t>
      </w:r>
      <w:r w:rsidRPr="00C9356C">
        <w:rPr>
          <w:rFonts w:eastAsia="Malgun Gothic"/>
          <w:lang w:eastAsia="ko-KR"/>
        </w:rPr>
        <w:t>performance</w:t>
      </w:r>
      <w:r w:rsidRPr="00C9356C">
        <w:rPr>
          <w:rFonts w:eastAsia="Malgun Gothic" w:hint="eastAsia"/>
          <w:lang w:eastAsia="ko-KR"/>
        </w:rPr>
        <w:t xml:space="preserve"> unless their placements are not designed carefully in terms of both radiation patterns and isolation. </w:t>
      </w:r>
    </w:p>
    <w:p w14:paraId="0FB28C68" w14:textId="77777777" w:rsidR="00312E2E" w:rsidRPr="00D40D6F" w:rsidRDefault="00312E2E" w:rsidP="00312E2E"/>
    <w:p w14:paraId="68C9CD36" w14:textId="77777777" w:rsidR="001E41F3" w:rsidRDefault="001E41F3">
      <w:pPr>
        <w:rPr>
          <w:noProof/>
        </w:rPr>
      </w:pPr>
    </w:p>
    <w:sectPr w:rsidR="001E41F3" w:rsidSect="009C79EF">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John MEREDITH" w:date="2020-02-03T09:35:00Z" w:initials="JMM">
    <w:p w14:paraId="58CA0856" w14:textId="77777777" w:rsidR="00665C47" w:rsidRDefault="00665C47">
      <w:pPr>
        <w:pStyle w:val="CommentText"/>
      </w:pPr>
      <w:r>
        <w:rPr>
          <w:rStyle w:val="CommentReference"/>
        </w:rPr>
        <w:annotationRef/>
      </w:r>
      <w:r>
        <w:t>Format yyyy-MM-dd.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B5589C" w14:textId="77777777" w:rsidR="00561985" w:rsidRDefault="00561985">
      <w:r>
        <w:separator/>
      </w:r>
    </w:p>
  </w:endnote>
  <w:endnote w:type="continuationSeparator" w:id="0">
    <w:p w14:paraId="2E4076D0" w14:textId="77777777" w:rsidR="00561985" w:rsidRDefault="005619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Arial"/>
    <w:panose1 w:val="020B0604020202020204"/>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20B0604020202020204"/>
    <w:charset w:val="00"/>
    <w:family w:val="roman"/>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ECEF5E" w14:textId="77777777" w:rsidR="00561985" w:rsidRDefault="00561985">
      <w:r>
        <w:separator/>
      </w:r>
    </w:p>
  </w:footnote>
  <w:footnote w:type="continuationSeparator" w:id="0">
    <w:p w14:paraId="07635BEC" w14:textId="77777777" w:rsidR="00561985" w:rsidRDefault="005619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hn MEREDITH">
    <w15:presenceInfo w15:providerId="AD" w15:userId="S::John.Meredith@etsi.org::524b9e6e-771c-4a58-828a-fb0a2ef64260"/>
  </w15:person>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674B6"/>
    <w:rsid w:val="00070E09"/>
    <w:rsid w:val="000A6394"/>
    <w:rsid w:val="000B7FED"/>
    <w:rsid w:val="000C038A"/>
    <w:rsid w:val="000C6598"/>
    <w:rsid w:val="000D44B3"/>
    <w:rsid w:val="00145D43"/>
    <w:rsid w:val="0015733E"/>
    <w:rsid w:val="00192C46"/>
    <w:rsid w:val="001A08B3"/>
    <w:rsid w:val="001A7B60"/>
    <w:rsid w:val="001B52F0"/>
    <w:rsid w:val="001B7A65"/>
    <w:rsid w:val="001E41F3"/>
    <w:rsid w:val="0026004D"/>
    <w:rsid w:val="002640DD"/>
    <w:rsid w:val="00275D12"/>
    <w:rsid w:val="00284FEB"/>
    <w:rsid w:val="002860C4"/>
    <w:rsid w:val="002B5741"/>
    <w:rsid w:val="002E472E"/>
    <w:rsid w:val="002F27E9"/>
    <w:rsid w:val="00305409"/>
    <w:rsid w:val="00312E2E"/>
    <w:rsid w:val="003609EF"/>
    <w:rsid w:val="0036231A"/>
    <w:rsid w:val="00374DD4"/>
    <w:rsid w:val="003E1A36"/>
    <w:rsid w:val="00405EB4"/>
    <w:rsid w:val="00410371"/>
    <w:rsid w:val="004242F1"/>
    <w:rsid w:val="004B75B7"/>
    <w:rsid w:val="005141D9"/>
    <w:rsid w:val="0051580D"/>
    <w:rsid w:val="00547111"/>
    <w:rsid w:val="00561985"/>
    <w:rsid w:val="00592D74"/>
    <w:rsid w:val="005E2C44"/>
    <w:rsid w:val="00612410"/>
    <w:rsid w:val="00621188"/>
    <w:rsid w:val="006257ED"/>
    <w:rsid w:val="0065075C"/>
    <w:rsid w:val="00653DE4"/>
    <w:rsid w:val="00665C47"/>
    <w:rsid w:val="00695808"/>
    <w:rsid w:val="006B46FB"/>
    <w:rsid w:val="006B62F0"/>
    <w:rsid w:val="006E21FB"/>
    <w:rsid w:val="00792342"/>
    <w:rsid w:val="007977A8"/>
    <w:rsid w:val="007B512A"/>
    <w:rsid w:val="007C2097"/>
    <w:rsid w:val="007D6A07"/>
    <w:rsid w:val="007F7259"/>
    <w:rsid w:val="008040A8"/>
    <w:rsid w:val="008279FA"/>
    <w:rsid w:val="008626E7"/>
    <w:rsid w:val="00870EE7"/>
    <w:rsid w:val="008863B9"/>
    <w:rsid w:val="008A45A6"/>
    <w:rsid w:val="008D3CCC"/>
    <w:rsid w:val="008F3789"/>
    <w:rsid w:val="008F686C"/>
    <w:rsid w:val="009148DE"/>
    <w:rsid w:val="00941E30"/>
    <w:rsid w:val="0094598D"/>
    <w:rsid w:val="009531B0"/>
    <w:rsid w:val="009741B3"/>
    <w:rsid w:val="009777D9"/>
    <w:rsid w:val="00991B88"/>
    <w:rsid w:val="009A5753"/>
    <w:rsid w:val="009A579D"/>
    <w:rsid w:val="009C79EF"/>
    <w:rsid w:val="009E3297"/>
    <w:rsid w:val="009F734F"/>
    <w:rsid w:val="00A246B6"/>
    <w:rsid w:val="00A47E70"/>
    <w:rsid w:val="00A50CF0"/>
    <w:rsid w:val="00A531F9"/>
    <w:rsid w:val="00A7671C"/>
    <w:rsid w:val="00AA2CBC"/>
    <w:rsid w:val="00AC5820"/>
    <w:rsid w:val="00AD1CD8"/>
    <w:rsid w:val="00B258BB"/>
    <w:rsid w:val="00B67B97"/>
    <w:rsid w:val="00B8002A"/>
    <w:rsid w:val="00B968C8"/>
    <w:rsid w:val="00BA3EC5"/>
    <w:rsid w:val="00BA51D9"/>
    <w:rsid w:val="00BB5DFC"/>
    <w:rsid w:val="00BD279D"/>
    <w:rsid w:val="00BD6BB8"/>
    <w:rsid w:val="00C66BA2"/>
    <w:rsid w:val="00C870F6"/>
    <w:rsid w:val="00C95985"/>
    <w:rsid w:val="00CB5DF0"/>
    <w:rsid w:val="00CC5026"/>
    <w:rsid w:val="00CC68D0"/>
    <w:rsid w:val="00D03F9A"/>
    <w:rsid w:val="00D06D51"/>
    <w:rsid w:val="00D24991"/>
    <w:rsid w:val="00D470CA"/>
    <w:rsid w:val="00D50255"/>
    <w:rsid w:val="00D66520"/>
    <w:rsid w:val="00D67DE9"/>
    <w:rsid w:val="00D84AE9"/>
    <w:rsid w:val="00D9124E"/>
    <w:rsid w:val="00DD46D9"/>
    <w:rsid w:val="00DE34CF"/>
    <w:rsid w:val="00E13F3D"/>
    <w:rsid w:val="00E34898"/>
    <w:rsid w:val="00EB09B7"/>
    <w:rsid w:val="00EE7D7C"/>
    <w:rsid w:val="00F25D98"/>
    <w:rsid w:val="00F300FB"/>
    <w:rsid w:val="00F55D92"/>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basedOn w:val="DefaultParagraphFont"/>
    <w:link w:val="Heading2"/>
    <w:qFormat/>
    <w:rsid w:val="00312E2E"/>
    <w:rPr>
      <w:rFonts w:ascii="Arial" w:hAnsi="Arial"/>
      <w:sz w:val="32"/>
      <w:lang w:val="en-GB" w:eastAsia="en-US"/>
    </w:rPr>
  </w:style>
  <w:style w:type="character" w:customStyle="1" w:styleId="Heading3Char">
    <w:name w:val="Heading 3 Char"/>
    <w:basedOn w:val="DefaultParagraphFont"/>
    <w:link w:val="Heading3"/>
    <w:qFormat/>
    <w:rsid w:val="00312E2E"/>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312E2E"/>
    <w:rPr>
      <w:rFonts w:ascii="Arial" w:hAnsi="Arial"/>
      <w:sz w:val="24"/>
      <w:lang w:val="en-GB" w:eastAsia="en-US"/>
    </w:rPr>
  </w:style>
  <w:style w:type="paragraph" w:styleId="Revision">
    <w:name w:val="Revision"/>
    <w:hidden/>
    <w:uiPriority w:val="99"/>
    <w:semiHidden/>
    <w:rsid w:val="00312E2E"/>
    <w:rPr>
      <w:rFonts w:ascii="Times New Roman" w:hAnsi="Times New Roman"/>
      <w:lang w:val="en-GB" w:eastAsia="en-US"/>
    </w:rPr>
  </w:style>
  <w:style w:type="character" w:customStyle="1" w:styleId="THChar">
    <w:name w:val="TH Char"/>
    <w:link w:val="TH"/>
    <w:qFormat/>
    <w:rsid w:val="00312E2E"/>
    <w:rPr>
      <w:rFonts w:ascii="Arial" w:hAnsi="Arial"/>
      <w:b/>
      <w:lang w:val="en-GB" w:eastAsia="en-US"/>
    </w:rPr>
  </w:style>
  <w:style w:type="character" w:customStyle="1" w:styleId="TACChar">
    <w:name w:val="TAC Char"/>
    <w:link w:val="TAC"/>
    <w:qFormat/>
    <w:locked/>
    <w:rsid w:val="00312E2E"/>
    <w:rPr>
      <w:rFonts w:ascii="Arial" w:hAnsi="Arial"/>
      <w:sz w:val="18"/>
      <w:lang w:val="en-GB" w:eastAsia="en-US"/>
    </w:rPr>
  </w:style>
  <w:style w:type="character" w:customStyle="1" w:styleId="TAHCar">
    <w:name w:val="TAH Car"/>
    <w:link w:val="TAH"/>
    <w:qFormat/>
    <w:locked/>
    <w:rsid w:val="00312E2E"/>
    <w:rPr>
      <w:rFonts w:ascii="Arial" w:hAnsi="Arial"/>
      <w:b/>
      <w:sz w:val="18"/>
      <w:lang w:val="en-GB" w:eastAsia="en-US"/>
    </w:rPr>
  </w:style>
  <w:style w:type="character" w:customStyle="1" w:styleId="TFChar">
    <w:name w:val="TF Char"/>
    <w:link w:val="TF"/>
    <w:qFormat/>
    <w:rsid w:val="00312E2E"/>
    <w:rPr>
      <w:rFonts w:ascii="Arial" w:hAnsi="Arial"/>
      <w:b/>
      <w:lang w:val="en-GB" w:eastAsia="en-US"/>
    </w:rPr>
  </w:style>
  <w:style w:type="table" w:customStyle="1" w:styleId="1">
    <w:name w:val="표 구분선1"/>
    <w:basedOn w:val="TableNormal"/>
    <w:next w:val="TableGrid"/>
    <w:uiPriority w:val="59"/>
    <w:qFormat/>
    <w:rsid w:val="00312E2E"/>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312E2E"/>
    <w:rPr>
      <w:b/>
      <w:bCs/>
    </w:rPr>
  </w:style>
  <w:style w:type="paragraph" w:customStyle="1" w:styleId="Body">
    <w:name w:val="Body"/>
    <w:rsid w:val="00312E2E"/>
    <w:pPr>
      <w:pBdr>
        <w:top w:val="nil"/>
        <w:left w:val="nil"/>
        <w:bottom w:val="nil"/>
        <w:right w:val="nil"/>
        <w:between w:val="nil"/>
        <w:bar w:val="nil"/>
      </w:pBdr>
      <w:spacing w:after="180"/>
    </w:pPr>
    <w:rPr>
      <w:rFonts w:ascii="Times New Roman" w:eastAsia="Arial Unicode MS" w:hAnsi="Times New Roman" w:cs="Arial Unicode MS"/>
      <w:color w:val="000000"/>
      <w:u w:color="000000"/>
      <w:bdr w:val="nil"/>
      <w:lang w:val="en-GB" w:eastAsia="ko-KR"/>
      <w14:textOutline w14:w="0" w14:cap="flat" w14:cmpd="sng" w14:algn="ctr">
        <w14:noFill/>
        <w14:prstDash w14:val="solid"/>
        <w14:bevel/>
      </w14:textOutline>
    </w:rPr>
  </w:style>
  <w:style w:type="character" w:customStyle="1" w:styleId="Hyperlink0">
    <w:name w:val="Hyperlink.0"/>
    <w:basedOn w:val="DefaultParagraphFont"/>
    <w:rsid w:val="00312E2E"/>
  </w:style>
  <w:style w:type="table" w:styleId="TableGrid">
    <w:name w:val="Table Grid"/>
    <w:basedOn w:val="TableNormal"/>
    <w:rsid w:val="00312E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hyperlink" Target="http://www.3gpp.org/ftp/Specs/html-info/21900.htm" TargetMode="Externa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microsoft.com/office/2016/09/relationships/commentsIds" Target="commentsIds.xml"/><Relationship Id="rId17" Type="http://schemas.openxmlformats.org/officeDocument/2006/relationships/image" Target="media/image3.png"/><Relationship Id="rId25" Type="http://schemas.openxmlformats.org/officeDocument/2006/relationships/image" Target="media/image11.png"/><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footnotes" Target="footnotes.xml"/><Relationship Id="rId11" Type="http://schemas.microsoft.com/office/2011/relationships/commentsExtended" Target="commentsExtended.xml"/><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header" Target="header3.xml"/><Relationship Id="rId10" Type="http://schemas.openxmlformats.org/officeDocument/2006/relationships/comments" Target="comments.xml"/><Relationship Id="rId19" Type="http://schemas.openxmlformats.org/officeDocument/2006/relationships/image" Target="media/image5.png"/><Relationship Id="rId31"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header" Target="header1.xml"/><Relationship Id="rId22" Type="http://schemas.openxmlformats.org/officeDocument/2006/relationships/image" Target="media/image8.png"/><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21</TotalTime>
  <Pages>8</Pages>
  <Words>2242</Words>
  <Characters>12781</Characters>
  <Application>Microsoft Office Word</Application>
  <DocSecurity>0</DocSecurity>
  <Lines>106</Lines>
  <Paragraphs>29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14994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Alexander Sayenko</cp:lastModifiedBy>
  <cp:revision>9</cp:revision>
  <cp:lastPrinted>1899-12-31T23:00:00Z</cp:lastPrinted>
  <dcterms:created xsi:type="dcterms:W3CDTF">2025-01-24T20:34:00Z</dcterms:created>
  <dcterms:modified xsi:type="dcterms:W3CDTF">2025-02-07T08:56:00Z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